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B23E8" w14:textId="77777777" w:rsidR="005E2391" w:rsidRDefault="005E2391" w:rsidP="0053679A">
      <w:pPr>
        <w:pStyle w:val="a5"/>
      </w:pPr>
      <w:bookmarkStart w:id="0" w:name="_GoBack"/>
      <w:bookmarkEnd w:id="0"/>
    </w:p>
    <w:p w14:paraId="20BD6708" w14:textId="77777777" w:rsidR="005E2391" w:rsidRDefault="005E2391" w:rsidP="0053679A">
      <w:pPr>
        <w:pStyle w:val="a5"/>
      </w:pPr>
    </w:p>
    <w:p w14:paraId="1D26592D" w14:textId="77777777" w:rsidR="005E2391" w:rsidRDefault="005E2391" w:rsidP="0053679A">
      <w:pPr>
        <w:pStyle w:val="a5"/>
      </w:pPr>
    </w:p>
    <w:p w14:paraId="6337E0D2" w14:textId="77777777" w:rsidR="005E2391" w:rsidRDefault="005E2391" w:rsidP="0053679A"/>
    <w:p w14:paraId="71B8D172" w14:textId="77777777" w:rsidR="005E2391" w:rsidRDefault="005E2391" w:rsidP="0053679A">
      <w:pPr>
        <w:rPr>
          <w:lang w:val="en-US"/>
        </w:rPr>
      </w:pPr>
    </w:p>
    <w:p w14:paraId="5A47F79A" w14:textId="77777777" w:rsidR="008A0CB2" w:rsidRDefault="008A0CB2" w:rsidP="0053679A">
      <w:pPr>
        <w:rPr>
          <w:lang w:val="en-US"/>
        </w:rPr>
      </w:pPr>
    </w:p>
    <w:p w14:paraId="15F2AC16" w14:textId="77777777" w:rsidR="008A0CB2" w:rsidRPr="008A0CB2" w:rsidRDefault="008A0CB2" w:rsidP="0053679A">
      <w:pPr>
        <w:rPr>
          <w:lang w:val="en-US"/>
        </w:rPr>
      </w:pPr>
    </w:p>
    <w:p w14:paraId="19C07301" w14:textId="77777777" w:rsidR="005E2391" w:rsidRDefault="005E2391" w:rsidP="0053679A">
      <w:pPr>
        <w:pStyle w:val="a5"/>
      </w:pPr>
    </w:p>
    <w:p w14:paraId="0708AAE2" w14:textId="77777777" w:rsidR="005E2391" w:rsidRDefault="005E2391" w:rsidP="0053679A">
      <w:pPr>
        <w:pStyle w:val="a5"/>
      </w:pPr>
    </w:p>
    <w:p w14:paraId="72905872" w14:textId="77777777" w:rsidR="005E2391" w:rsidRDefault="005E2391" w:rsidP="0053679A">
      <w:pPr>
        <w:pStyle w:val="a5"/>
      </w:pPr>
    </w:p>
    <w:p w14:paraId="269DFE08" w14:textId="65F2F8EF" w:rsidR="005E2391" w:rsidRPr="00724CD5" w:rsidRDefault="006F4169" w:rsidP="0053679A">
      <w:pPr>
        <w:pStyle w:val="a5"/>
      </w:pPr>
      <w:r>
        <w:t>РЕГЛАМЕНТ ПО ЭКСПЛУАТАЦИИ</w:t>
      </w:r>
    </w:p>
    <w:p w14:paraId="1627530C" w14:textId="5AC54F96" w:rsidR="005E2391" w:rsidRPr="005C0C58" w:rsidRDefault="005C0C58" w:rsidP="0053679A">
      <w:pPr>
        <w:pStyle w:val="a7"/>
      </w:pPr>
      <w:r>
        <w:rPr>
          <w:lang w:val="en-US"/>
        </w:rPr>
        <w:t>RT</w:t>
      </w:r>
      <w:r w:rsidRPr="00724CD5">
        <w:t xml:space="preserve"> </w:t>
      </w:r>
      <w:r w:rsidR="006D5DB0">
        <w:rPr>
          <w:lang w:val="en-US"/>
        </w:rPr>
        <w:t>KEYID</w:t>
      </w:r>
    </w:p>
    <w:p w14:paraId="7DA9BA8A" w14:textId="77777777" w:rsidR="005E2391" w:rsidRPr="0034050E" w:rsidRDefault="005E2391" w:rsidP="0053679A">
      <w:pPr>
        <w:pStyle w:val="a7"/>
      </w:pPr>
    </w:p>
    <w:p w14:paraId="73662F66" w14:textId="77777777" w:rsidR="005E2391" w:rsidRPr="00F44E27" w:rsidRDefault="005E2391" w:rsidP="0053679A"/>
    <w:p w14:paraId="32355238" w14:textId="77777777" w:rsidR="005E2391" w:rsidRPr="00F44E27" w:rsidRDefault="005E2391" w:rsidP="0053679A"/>
    <w:p w14:paraId="429FF30E" w14:textId="77777777" w:rsidR="005E2391" w:rsidRDefault="005E2391" w:rsidP="0053679A"/>
    <w:p w14:paraId="0D3C2938" w14:textId="77777777" w:rsidR="005E2391" w:rsidRPr="00F44E27" w:rsidRDefault="005E2391" w:rsidP="0053679A"/>
    <w:p w14:paraId="5806079C" w14:textId="77777777" w:rsidR="005E2391" w:rsidRDefault="005E2391" w:rsidP="0053679A"/>
    <w:p w14:paraId="7A5EC356" w14:textId="77777777" w:rsidR="008A0CB2" w:rsidRDefault="008A0CB2" w:rsidP="0053679A"/>
    <w:p w14:paraId="2078A804" w14:textId="77777777" w:rsidR="008A0CB2" w:rsidRDefault="008A0CB2" w:rsidP="0053679A"/>
    <w:p w14:paraId="4FD258F9" w14:textId="77777777" w:rsidR="008A0CB2" w:rsidRDefault="008A0CB2" w:rsidP="0053679A"/>
    <w:p w14:paraId="53AC3926" w14:textId="77777777" w:rsidR="005E2391" w:rsidRPr="00F44E27" w:rsidRDefault="005E2391" w:rsidP="0053679A"/>
    <w:p w14:paraId="111947D7" w14:textId="77777777" w:rsidR="005E2391" w:rsidRPr="00F44E27" w:rsidRDefault="005E2391" w:rsidP="0053679A"/>
    <w:p w14:paraId="11E5BF33" w14:textId="77777777" w:rsidR="00230507" w:rsidRDefault="00230507" w:rsidP="00230507">
      <w:pPr>
        <w:pStyle w:val="a7"/>
      </w:pPr>
    </w:p>
    <w:p w14:paraId="35E4D4EE" w14:textId="77777777" w:rsidR="00230507" w:rsidRDefault="00230507" w:rsidP="00230507">
      <w:pPr>
        <w:pStyle w:val="a7"/>
      </w:pPr>
    </w:p>
    <w:p w14:paraId="26C97A4A" w14:textId="77777777" w:rsidR="00230507" w:rsidRDefault="00230507" w:rsidP="00230507">
      <w:pPr>
        <w:pStyle w:val="a7"/>
      </w:pPr>
    </w:p>
    <w:p w14:paraId="1A653BD5" w14:textId="69E644B2" w:rsidR="00230507" w:rsidRPr="00230507" w:rsidRDefault="005E2391" w:rsidP="00230507">
      <w:pPr>
        <w:pStyle w:val="a7"/>
        <w:ind w:firstLine="0"/>
      </w:pPr>
      <w:r w:rsidRPr="000B5B6D">
        <w:t>202</w:t>
      </w:r>
      <w:r w:rsidR="00BC554A">
        <w:t>5</w:t>
      </w:r>
      <w:r>
        <w:t xml:space="preserve"> г</w:t>
      </w:r>
      <w:r w:rsidRPr="00A04B86">
        <w:t>.</w:t>
      </w:r>
    </w:p>
    <w:p w14:paraId="38B510C7" w14:textId="77777777" w:rsidR="005E2391" w:rsidRDefault="005E2391" w:rsidP="00230507">
      <w:pPr>
        <w:ind w:firstLine="0"/>
        <w:rPr>
          <w:szCs w:val="40"/>
        </w:rPr>
      </w:pPr>
      <w:r w:rsidRPr="00F44E27">
        <w:br w:type="page"/>
      </w:r>
    </w:p>
    <w:sdt>
      <w:sdtPr>
        <w:rPr>
          <w:rFonts w:eastAsia="Times New Roman"/>
          <w:b w:val="0"/>
          <w:color w:val="auto"/>
          <w:sz w:val="24"/>
          <w:szCs w:val="24"/>
        </w:rPr>
        <w:id w:val="96408236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5517731" w14:textId="77777777" w:rsidR="00CD1380" w:rsidRPr="00CD1380" w:rsidRDefault="00CD1380" w:rsidP="00CD1380">
          <w:pPr>
            <w:pStyle w:val="af0"/>
            <w:jc w:val="center"/>
            <w:rPr>
              <w:color w:val="auto"/>
            </w:rPr>
          </w:pPr>
          <w:r w:rsidRPr="00CD1380">
            <w:rPr>
              <w:color w:val="auto"/>
            </w:rPr>
            <w:t>Содержание</w:t>
          </w:r>
        </w:p>
        <w:p w14:paraId="1A6DA702" w14:textId="1640635A" w:rsidR="00072A2D" w:rsidRDefault="00CD1380">
          <w:pPr>
            <w:pStyle w:val="13"/>
            <w:tabs>
              <w:tab w:val="left" w:pos="1200"/>
              <w:tab w:val="right" w:leader="dot" w:pos="9345"/>
            </w:tabs>
            <w:rPr>
              <w:rFonts w:asciiTheme="minorHAnsi" w:eastAsiaTheme="minorEastAsia" w:hAnsiTheme="minorHAnsi" w:cstheme="minorBidi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650527" w:history="1">
            <w:r w:rsidR="00072A2D" w:rsidRPr="002A4FD5">
              <w:rPr>
                <w:rStyle w:val="af"/>
                <w:noProof/>
              </w:rPr>
              <w:t>1.</w:t>
            </w:r>
            <w:r w:rsidR="00072A2D">
              <w:rPr>
                <w:rFonts w:asciiTheme="minorHAnsi" w:eastAsiaTheme="minorEastAsia" w:hAnsiTheme="minorHAnsi" w:cstheme="minorBidi"/>
                <w:noProof/>
                <w:kern w:val="2"/>
                <w14:ligatures w14:val="standardContextual"/>
              </w:rPr>
              <w:tab/>
            </w:r>
            <w:r w:rsidR="00072A2D" w:rsidRPr="002A4FD5">
              <w:rPr>
                <w:rStyle w:val="af"/>
                <w:noProof/>
              </w:rPr>
              <w:t>Регламент эксплуатации проекта Keyid (Keycloak SPI &amp; Nebula Theme)</w:t>
            </w:r>
            <w:r w:rsidR="00072A2D">
              <w:rPr>
                <w:noProof/>
                <w:webHidden/>
              </w:rPr>
              <w:tab/>
            </w:r>
            <w:r w:rsidR="00072A2D">
              <w:rPr>
                <w:noProof/>
                <w:webHidden/>
              </w:rPr>
              <w:fldChar w:fldCharType="begin"/>
            </w:r>
            <w:r w:rsidR="00072A2D">
              <w:rPr>
                <w:noProof/>
                <w:webHidden/>
              </w:rPr>
              <w:instrText xml:space="preserve"> PAGEREF _Toc215650527 \h </w:instrText>
            </w:r>
            <w:r w:rsidR="00072A2D">
              <w:rPr>
                <w:noProof/>
                <w:webHidden/>
              </w:rPr>
            </w:r>
            <w:r w:rsidR="00072A2D">
              <w:rPr>
                <w:noProof/>
                <w:webHidden/>
              </w:rPr>
              <w:fldChar w:fldCharType="separate"/>
            </w:r>
            <w:r w:rsidR="00072A2D">
              <w:rPr>
                <w:noProof/>
                <w:webHidden/>
              </w:rPr>
              <w:t>3</w:t>
            </w:r>
            <w:r w:rsidR="00072A2D">
              <w:rPr>
                <w:noProof/>
                <w:webHidden/>
              </w:rPr>
              <w:fldChar w:fldCharType="end"/>
            </w:r>
          </w:hyperlink>
        </w:p>
        <w:p w14:paraId="4B10F06C" w14:textId="7BACB397" w:rsidR="00CD1380" w:rsidRDefault="00CD1380">
          <w:r>
            <w:rPr>
              <w:b/>
              <w:bCs/>
            </w:rPr>
            <w:fldChar w:fldCharType="end"/>
          </w:r>
        </w:p>
      </w:sdtContent>
    </w:sdt>
    <w:p w14:paraId="63E42A76" w14:textId="77777777" w:rsidR="00304000" w:rsidRDefault="00304000">
      <w:pPr>
        <w:spacing w:before="0" w:after="160" w:line="259" w:lineRule="auto"/>
        <w:ind w:firstLine="0"/>
        <w:jc w:val="left"/>
      </w:pPr>
      <w:r>
        <w:br w:type="page"/>
      </w:r>
    </w:p>
    <w:p w14:paraId="47216FD8" w14:textId="25CFFDF5" w:rsidR="00927DF1" w:rsidRDefault="00927DF1" w:rsidP="00927DF1">
      <w:pPr>
        <w:pStyle w:val="10"/>
      </w:pPr>
      <w:bookmarkStart w:id="1" w:name="_Toc215650527"/>
      <w:r w:rsidRPr="00927DF1">
        <w:rPr>
          <w:rFonts w:eastAsia="Times New Roman"/>
        </w:rPr>
        <w:t>Регламент эксплуатации проекта Keyid (Keycloak SPI &amp; Nebula Theme)</w:t>
      </w:r>
      <w:bookmarkEnd w:id="1"/>
    </w:p>
    <w:p w14:paraId="29C302E6" w14:textId="37FB16C4" w:rsidR="00927DF1" w:rsidRDefault="00927DF1" w:rsidP="00B76885">
      <w:pPr>
        <w:pStyle w:val="a"/>
        <w:numPr>
          <w:ilvl w:val="0"/>
          <w:numId w:val="7"/>
        </w:numPr>
        <w:spacing w:before="0" w:after="0"/>
      </w:pPr>
      <w:r w:rsidRPr="00927DF1">
        <w:t>Развертывание и Обслуживание компонентов</w:t>
      </w:r>
    </w:p>
    <w:tbl>
      <w:tblPr>
        <w:tblStyle w:val="aff0"/>
        <w:tblW w:w="0" w:type="auto"/>
        <w:tblInd w:w="1287" w:type="dxa"/>
        <w:tblLook w:val="04A0" w:firstRow="1" w:lastRow="0" w:firstColumn="1" w:lastColumn="0" w:noHBand="0" w:noVBand="1"/>
      </w:tblPr>
      <w:tblGrid>
        <w:gridCol w:w="3930"/>
        <w:gridCol w:w="4128"/>
      </w:tblGrid>
      <w:tr w:rsidR="00927DF1" w14:paraId="048A693C" w14:textId="77777777" w:rsidTr="00E708D6">
        <w:tc>
          <w:tcPr>
            <w:tcW w:w="3930" w:type="dxa"/>
          </w:tcPr>
          <w:p w14:paraId="77903F92" w14:textId="7BC88634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Направление</w:t>
            </w:r>
          </w:p>
        </w:tc>
        <w:tc>
          <w:tcPr>
            <w:tcW w:w="4128" w:type="dxa"/>
          </w:tcPr>
          <w:p w14:paraId="73E3C85C" w14:textId="59375301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Регламентное требование</w:t>
            </w:r>
          </w:p>
        </w:tc>
      </w:tr>
      <w:tr w:rsidR="00927DF1" w14:paraId="3969C6E8" w14:textId="77777777" w:rsidTr="00E708D6">
        <w:tc>
          <w:tcPr>
            <w:tcW w:w="3930" w:type="dxa"/>
          </w:tcPr>
          <w:p w14:paraId="4CF3E75B" w14:textId="075FF17A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Совместимость</w:t>
            </w:r>
          </w:p>
        </w:tc>
        <w:tc>
          <w:tcPr>
            <w:tcW w:w="4128" w:type="dxa"/>
          </w:tcPr>
          <w:p w14:paraId="43FF6F9E" w14:textId="6B5D12D7" w:rsidR="00927DF1" w:rsidRPr="00E708D6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Проект требует Keycloak версии 26.3.3</w:t>
            </w:r>
            <w:r w:rsidR="00E708D6" w:rsidRPr="00E708D6">
              <w:t>*</w:t>
            </w:r>
            <w:r w:rsidRPr="00927DF1">
              <w:t>+ и среду исполнения JDK 21</w:t>
            </w:r>
            <w:r w:rsidR="00E708D6" w:rsidRPr="00E708D6">
              <w:t>*</w:t>
            </w:r>
          </w:p>
        </w:tc>
      </w:tr>
      <w:tr w:rsidR="00927DF1" w14:paraId="111C527B" w14:textId="77777777" w:rsidTr="00E708D6">
        <w:tc>
          <w:tcPr>
            <w:tcW w:w="3930" w:type="dxa"/>
          </w:tcPr>
          <w:p w14:paraId="2A008933" w14:textId="7FF965E9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Установка</w:t>
            </w:r>
          </w:p>
        </w:tc>
        <w:tc>
          <w:tcPr>
            <w:tcW w:w="4128" w:type="dxa"/>
          </w:tcPr>
          <w:p w14:paraId="719C37F9" w14:textId="23D1304B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Скомпилированный JAR-файл (rtk-header-logger-authenticator) должен быть скопирован в каталог провайдеров Keycloak: /opt/keycloak/providers/ (для контейнера) или $KC_HOME/providers/ (для дистрибутива)</w:t>
            </w:r>
          </w:p>
        </w:tc>
      </w:tr>
      <w:tr w:rsidR="00927DF1" w14:paraId="17CF1423" w14:textId="77777777" w:rsidTr="00E708D6">
        <w:tc>
          <w:tcPr>
            <w:tcW w:w="3930" w:type="dxa"/>
          </w:tcPr>
          <w:p w14:paraId="0694F874" w14:textId="4FB705F4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Активация SPI</w:t>
            </w:r>
          </w:p>
        </w:tc>
        <w:tc>
          <w:tcPr>
            <w:tcW w:w="4128" w:type="dxa"/>
          </w:tcPr>
          <w:p w14:paraId="1C0C1D5C" w14:textId="70BF8955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После размещения JAR-файла необходимо запустить процедуру перекомпоновки (re-build) провайдеров, а затем перезапустить инстанс Keycloak</w:t>
            </w:r>
          </w:p>
        </w:tc>
      </w:tr>
      <w:tr w:rsidR="00927DF1" w14:paraId="21098FB2" w14:textId="77777777" w:rsidTr="00E708D6">
        <w:tc>
          <w:tcPr>
            <w:tcW w:w="3930" w:type="dxa"/>
          </w:tcPr>
          <w:p w14:paraId="7E4441A7" w14:textId="26B768C9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>Активация Темы</w:t>
            </w:r>
          </w:p>
        </w:tc>
        <w:tc>
          <w:tcPr>
            <w:tcW w:w="4128" w:type="dxa"/>
          </w:tcPr>
          <w:p w14:paraId="1B9793B0" w14:textId="5A10D046" w:rsidR="00927DF1" w:rsidRDefault="00927DF1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927DF1">
              <w:t xml:space="preserve">Для активации дизайна </w:t>
            </w:r>
            <w:r w:rsidRPr="00927DF1">
              <w:rPr>
                <w:b/>
                <w:bCs/>
              </w:rPr>
              <w:t>Nebula (версия 1.4)</w:t>
            </w:r>
            <w:r w:rsidRPr="00927DF1">
              <w:t xml:space="preserve"> необходимо установить ее в Административной консоли как для </w:t>
            </w:r>
            <w:r w:rsidRPr="00927DF1">
              <w:rPr>
                <w:b/>
                <w:bCs/>
              </w:rPr>
              <w:t>Login Theme</w:t>
            </w:r>
            <w:r w:rsidRPr="00927DF1">
              <w:t xml:space="preserve">, так и для </w:t>
            </w:r>
            <w:r w:rsidRPr="00927DF1">
              <w:rPr>
                <w:b/>
                <w:bCs/>
              </w:rPr>
              <w:t>Account Theme</w:t>
            </w:r>
            <w:r w:rsidRPr="00927DF1">
              <w:t xml:space="preserve"> и </w:t>
            </w:r>
            <w:r w:rsidRPr="00927DF1">
              <w:rPr>
                <w:b/>
                <w:bCs/>
              </w:rPr>
              <w:t>Admin Console Theme</w:t>
            </w:r>
          </w:p>
        </w:tc>
      </w:tr>
    </w:tbl>
    <w:p w14:paraId="3E3A3263" w14:textId="77777777" w:rsidR="00E708D6" w:rsidRDefault="00E708D6" w:rsidP="00E708D6">
      <w:pPr>
        <w:rPr>
          <w:sz w:val="16"/>
          <w:szCs w:val="16"/>
        </w:rPr>
      </w:pPr>
      <w:r w:rsidRPr="00FA3B3F">
        <w:rPr>
          <w:sz w:val="16"/>
          <w:szCs w:val="16"/>
        </w:rPr>
        <w:t>JDK 21 распространяется по бесплатной лицензии </w:t>
      </w:r>
      <w:r w:rsidRPr="00FA3B3F">
        <w:rPr>
          <w:i/>
          <w:sz w:val="16"/>
          <w:szCs w:val="16"/>
        </w:rPr>
        <w:t>Oracle No-Fee Terms and Conditions (NFTC) License</w:t>
      </w:r>
      <w:r w:rsidRPr="00FA3B3F">
        <w:rPr>
          <w:sz w:val="16"/>
          <w:szCs w:val="16"/>
        </w:rPr>
        <w:t>, которая разрешает бесплатное использование для коммерческих целей и распространения</w:t>
      </w:r>
    </w:p>
    <w:p w14:paraId="59ABDF59" w14:textId="77777777" w:rsidR="00E708D6" w:rsidRPr="00FA3B3F" w:rsidRDefault="00E708D6" w:rsidP="00E708D6">
      <w:pPr>
        <w:rPr>
          <w:sz w:val="16"/>
          <w:szCs w:val="16"/>
        </w:rPr>
      </w:pPr>
      <w:r w:rsidRPr="00FA3B3F">
        <w:rPr>
          <w:sz w:val="16"/>
          <w:szCs w:val="16"/>
        </w:rPr>
        <w:t xml:space="preserve">Keycloak – используется бесплатная версия </w:t>
      </w:r>
      <w:hyperlink r:id="rId8" w:tgtFrame="_blank" w:history="1">
        <w:r w:rsidRPr="00FA3B3F">
          <w:rPr>
            <w:rStyle w:val="af"/>
            <w:sz w:val="16"/>
            <w:szCs w:val="16"/>
          </w:rPr>
          <w:t>https://github.com/keycloak/keycloak/blob/main/LICENSE.txt</w:t>
        </w:r>
      </w:hyperlink>
    </w:p>
    <w:p w14:paraId="0F407CA9" w14:textId="77777777" w:rsidR="00927DF1" w:rsidRDefault="00927DF1" w:rsidP="00927DF1">
      <w:pPr>
        <w:pStyle w:val="a"/>
        <w:numPr>
          <w:ilvl w:val="0"/>
          <w:numId w:val="0"/>
        </w:numPr>
        <w:spacing w:before="0" w:after="0"/>
        <w:ind w:left="1287"/>
      </w:pPr>
    </w:p>
    <w:p w14:paraId="07996370" w14:textId="6A15655D" w:rsidR="00927DF1" w:rsidRDefault="00927DF1" w:rsidP="00B76885">
      <w:pPr>
        <w:pStyle w:val="a"/>
        <w:numPr>
          <w:ilvl w:val="0"/>
          <w:numId w:val="7"/>
        </w:numPr>
        <w:spacing w:before="0" w:after="0"/>
      </w:pPr>
      <w:r w:rsidRPr="00927DF1">
        <w:t>Регламент конфигурации Аутентификатора (SPI)</w:t>
      </w:r>
    </w:p>
    <w:p w14:paraId="14ADC96F" w14:textId="3B87EDC8" w:rsidR="00927DF1" w:rsidRDefault="00927DF1" w:rsidP="00927DF1">
      <w:pPr>
        <w:pStyle w:val="a"/>
        <w:numPr>
          <w:ilvl w:val="0"/>
          <w:numId w:val="0"/>
        </w:numPr>
        <w:spacing w:before="0" w:after="0"/>
        <w:ind w:left="1287"/>
        <w:rPr>
          <w:b/>
          <w:bCs/>
        </w:rPr>
      </w:pPr>
      <w:r w:rsidRPr="00927DF1">
        <w:t xml:space="preserve">Аутентификатор HeaderLoggerAuthenticator (ID провайдера: rtk-header-logger-authenticator) должен быть настроен в потоке аутентификации (Flow) через узел </w:t>
      </w:r>
      <w:r w:rsidRPr="00927DF1">
        <w:rPr>
          <w:b/>
          <w:bCs/>
        </w:rPr>
        <w:t>Execution</w:t>
      </w:r>
    </w:p>
    <w:tbl>
      <w:tblPr>
        <w:tblStyle w:val="aff0"/>
        <w:tblW w:w="0" w:type="auto"/>
        <w:tblInd w:w="1287" w:type="dxa"/>
        <w:tblLook w:val="04A0" w:firstRow="1" w:lastRow="0" w:firstColumn="1" w:lastColumn="0" w:noHBand="0" w:noVBand="1"/>
      </w:tblPr>
      <w:tblGrid>
        <w:gridCol w:w="3982"/>
        <w:gridCol w:w="4076"/>
      </w:tblGrid>
      <w:tr w:rsidR="004B11D7" w14:paraId="6A6FADDE" w14:textId="77777777" w:rsidTr="004B11D7">
        <w:tc>
          <w:tcPr>
            <w:tcW w:w="4672" w:type="dxa"/>
          </w:tcPr>
          <w:p w14:paraId="31B2D1E4" w14:textId="708E14F7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Параметр</w:t>
            </w:r>
          </w:p>
        </w:tc>
        <w:tc>
          <w:tcPr>
            <w:tcW w:w="4673" w:type="dxa"/>
          </w:tcPr>
          <w:p w14:paraId="342AD665" w14:textId="2DBEB4A7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Требование к конфигурации</w:t>
            </w:r>
          </w:p>
        </w:tc>
      </w:tr>
      <w:tr w:rsidR="004B11D7" w14:paraId="24CD2DFE" w14:textId="77777777" w:rsidTr="004B11D7">
        <w:tc>
          <w:tcPr>
            <w:tcW w:w="4672" w:type="dxa"/>
          </w:tcPr>
          <w:p w14:paraId="596DFAEF" w14:textId="57FD720B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Положение в Flow</w:t>
            </w:r>
          </w:p>
        </w:tc>
        <w:tc>
          <w:tcPr>
            <w:tcW w:w="4673" w:type="dxa"/>
          </w:tcPr>
          <w:p w14:paraId="6B408221" w14:textId="636AE943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 xml:space="preserve">Execution должен быть расположен </w:t>
            </w:r>
            <w:r w:rsidRPr="004B11D7">
              <w:rPr>
                <w:b/>
                <w:bCs/>
              </w:rPr>
              <w:t>выше</w:t>
            </w:r>
            <w:r w:rsidRPr="004B11D7">
              <w:t xml:space="preserve"> любых узлов, которые могут завершить поток (short-circuit), чтобы гарантировать его исполнение</w:t>
            </w:r>
          </w:p>
        </w:tc>
      </w:tr>
      <w:tr w:rsidR="004B11D7" w14:paraId="4E864F77" w14:textId="77777777" w:rsidTr="004B11D7">
        <w:tc>
          <w:tcPr>
            <w:tcW w:w="4672" w:type="dxa"/>
          </w:tcPr>
          <w:p w14:paraId="6E6A2271" w14:textId="0B81466F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Режим логики</w:t>
            </w:r>
          </w:p>
        </w:tc>
        <w:tc>
          <w:tcPr>
            <w:tcW w:w="4673" w:type="dxa"/>
          </w:tcPr>
          <w:p w14:paraId="78B83997" w14:textId="605D579A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 xml:space="preserve">Плагин работает в режиме </w:t>
            </w:r>
            <w:r w:rsidRPr="004B11D7">
              <w:rPr>
                <w:b/>
                <w:bCs/>
              </w:rPr>
              <w:t>"запрет по совпадению"</w:t>
            </w:r>
            <w:r w:rsidRPr="004B11D7">
              <w:t xml:space="preserve"> (</w:t>
            </w:r>
            <w:r w:rsidRPr="004B11D7">
              <w:rPr>
                <w:i/>
                <w:iCs/>
              </w:rPr>
              <w:t>deny-on-match</w:t>
            </w:r>
            <w:r w:rsidRPr="004B11D7">
              <w:t xml:space="preserve">). Блокировка (403 Forbidden) происходит только при одновременном выполнении условий requiredRole </w:t>
            </w:r>
            <w:r w:rsidRPr="004B11D7">
              <w:rPr>
                <w:b/>
                <w:bCs/>
              </w:rPr>
              <w:t>И</w:t>
            </w:r>
            <w:r w:rsidRPr="004B11D7">
              <w:t xml:space="preserve"> headerName</w:t>
            </w:r>
          </w:p>
        </w:tc>
      </w:tr>
      <w:tr w:rsidR="004B11D7" w14:paraId="407079F1" w14:textId="77777777" w:rsidTr="004B11D7">
        <w:tc>
          <w:tcPr>
            <w:tcW w:w="4672" w:type="dxa"/>
          </w:tcPr>
          <w:p w14:paraId="11A35A94" w14:textId="60EED768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requiredRole</w:t>
            </w:r>
          </w:p>
        </w:tc>
        <w:tc>
          <w:tcPr>
            <w:tcW w:w="4673" w:type="dxa"/>
          </w:tcPr>
          <w:p w14:paraId="42D6AB25" w14:textId="46960205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 xml:space="preserve">Роль, указанная в конфигурации, проверяется среди </w:t>
            </w:r>
            <w:r w:rsidRPr="004B11D7">
              <w:rPr>
                <w:b/>
                <w:bCs/>
              </w:rPr>
              <w:t>realm roles</w:t>
            </w:r>
            <w:r w:rsidRPr="004B11D7">
              <w:t xml:space="preserve"> и ролей, унаследованных от </w:t>
            </w:r>
            <w:r w:rsidRPr="004B11D7">
              <w:rPr>
                <w:b/>
                <w:bCs/>
              </w:rPr>
              <w:t>групп</w:t>
            </w:r>
            <w:r w:rsidRPr="004B11D7">
              <w:t xml:space="preserve"> пользователя</w:t>
            </w:r>
          </w:p>
        </w:tc>
      </w:tr>
      <w:tr w:rsidR="004B11D7" w14:paraId="1FECD507" w14:textId="77777777" w:rsidTr="004B11D7">
        <w:tc>
          <w:tcPr>
            <w:tcW w:w="4672" w:type="dxa"/>
          </w:tcPr>
          <w:p w14:paraId="3602E1AD" w14:textId="02321C2A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headerName</w:t>
            </w:r>
          </w:p>
        </w:tc>
        <w:tc>
          <w:tcPr>
            <w:tcW w:w="4673" w:type="dxa"/>
          </w:tcPr>
          <w:p w14:paraId="27987C7F" w14:textId="52C1DC2C" w:rsid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 xml:space="preserve">Имя HTTP-заголовка (String), которое используется как триггер. При сравнении заголовков регистр </w:t>
            </w:r>
            <w:r w:rsidRPr="004B11D7">
              <w:rPr>
                <w:b/>
                <w:bCs/>
              </w:rPr>
              <w:t>не учитывается</w:t>
            </w:r>
          </w:p>
        </w:tc>
      </w:tr>
      <w:tr w:rsidR="004B11D7" w14:paraId="2282DDF7" w14:textId="77777777" w:rsidTr="004B11D7">
        <w:tc>
          <w:tcPr>
            <w:tcW w:w="4672" w:type="dxa"/>
          </w:tcPr>
          <w:p w14:paraId="5BB52C8E" w14:textId="1E6EB03C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Fail-Open Logic</w:t>
            </w:r>
          </w:p>
        </w:tc>
        <w:tc>
          <w:tcPr>
            <w:tcW w:w="4673" w:type="dxa"/>
          </w:tcPr>
          <w:p w14:paraId="507B3A92" w14:textId="30BEE7DB" w:rsidR="004B11D7" w:rsidRDefault="004B11D7" w:rsidP="00927DF1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 xml:space="preserve">При пограничных случаях (если context или user недоступны, т.е. null) система должна логировать событие, но </w:t>
            </w:r>
            <w:r w:rsidRPr="004B11D7">
              <w:rPr>
                <w:b/>
                <w:bCs/>
              </w:rPr>
              <w:t>доступ не блокируется</w:t>
            </w:r>
          </w:p>
        </w:tc>
      </w:tr>
    </w:tbl>
    <w:p w14:paraId="75DD6469" w14:textId="77777777" w:rsidR="004B11D7" w:rsidRDefault="004B11D7" w:rsidP="00927DF1">
      <w:pPr>
        <w:pStyle w:val="a"/>
        <w:numPr>
          <w:ilvl w:val="0"/>
          <w:numId w:val="0"/>
        </w:numPr>
        <w:spacing w:before="0" w:after="0"/>
        <w:ind w:left="1287"/>
      </w:pPr>
    </w:p>
    <w:p w14:paraId="696EB024" w14:textId="77777777" w:rsidR="00927DF1" w:rsidRDefault="00927DF1" w:rsidP="00A20C47">
      <w:pPr>
        <w:spacing w:before="0" w:after="0"/>
      </w:pPr>
    </w:p>
    <w:p w14:paraId="1CD73FDF" w14:textId="215E4A23" w:rsidR="004B11D7" w:rsidRDefault="004B11D7" w:rsidP="00B76885">
      <w:pPr>
        <w:pStyle w:val="a"/>
        <w:numPr>
          <w:ilvl w:val="0"/>
          <w:numId w:val="7"/>
        </w:numPr>
        <w:spacing w:before="0" w:after="0"/>
        <w:rPr>
          <w:lang w:val="en-US"/>
        </w:rPr>
      </w:pPr>
      <w:r w:rsidRPr="004B11D7">
        <w:t>Мониторинг и Журналирование (Аудит)</w:t>
      </w:r>
    </w:p>
    <w:tbl>
      <w:tblPr>
        <w:tblStyle w:val="aff0"/>
        <w:tblW w:w="0" w:type="auto"/>
        <w:tblInd w:w="1287" w:type="dxa"/>
        <w:tblLook w:val="04A0" w:firstRow="1" w:lastRow="0" w:firstColumn="1" w:lastColumn="0" w:noHBand="0" w:noVBand="1"/>
      </w:tblPr>
      <w:tblGrid>
        <w:gridCol w:w="3971"/>
        <w:gridCol w:w="4087"/>
      </w:tblGrid>
      <w:tr w:rsidR="004B11D7" w14:paraId="260EFCBE" w14:textId="77777777" w:rsidTr="004B11D7">
        <w:tc>
          <w:tcPr>
            <w:tcW w:w="4672" w:type="dxa"/>
          </w:tcPr>
          <w:p w14:paraId="7E3DD9A1" w14:textId="4D59C6C6" w:rsid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4B11D7">
              <w:t>Действие</w:t>
            </w:r>
          </w:p>
        </w:tc>
        <w:tc>
          <w:tcPr>
            <w:tcW w:w="4673" w:type="dxa"/>
          </w:tcPr>
          <w:p w14:paraId="25D2E103" w14:textId="7BDA4137" w:rsid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4B11D7">
              <w:t>Регламент эксплуатации</w:t>
            </w:r>
          </w:p>
        </w:tc>
      </w:tr>
      <w:tr w:rsidR="004B11D7" w:rsidRPr="004B11D7" w14:paraId="66ED398F" w14:textId="77777777" w:rsidTr="004B11D7">
        <w:tc>
          <w:tcPr>
            <w:tcW w:w="4672" w:type="dxa"/>
          </w:tcPr>
          <w:p w14:paraId="2802D7E5" w14:textId="298E55D1" w:rsid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4B11D7">
              <w:rPr>
                <w:b/>
                <w:bCs/>
              </w:rPr>
              <w:t>Включение логирования</w:t>
            </w:r>
          </w:p>
        </w:tc>
        <w:tc>
          <w:tcPr>
            <w:tcW w:w="4673" w:type="dxa"/>
          </w:tcPr>
          <w:p w14:paraId="102141FD" w14:textId="19E2993B" w:rsidR="004B11D7" w:rsidRP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Для детального аудита входящих запросов необходимо установить параметр enableLogging в значение true</w:t>
            </w:r>
          </w:p>
        </w:tc>
      </w:tr>
      <w:tr w:rsidR="004B11D7" w:rsidRPr="004B11D7" w14:paraId="4DBE454E" w14:textId="77777777" w:rsidTr="004B11D7">
        <w:tc>
          <w:tcPr>
            <w:tcW w:w="4672" w:type="dxa"/>
          </w:tcPr>
          <w:p w14:paraId="35C61B0F" w14:textId="106BC64F" w:rsid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4B11D7">
              <w:rPr>
                <w:b/>
                <w:bCs/>
              </w:rPr>
              <w:t>Безопасность логов</w:t>
            </w:r>
          </w:p>
        </w:tc>
        <w:tc>
          <w:tcPr>
            <w:tcW w:w="4673" w:type="dxa"/>
          </w:tcPr>
          <w:p w14:paraId="0C08EECF" w14:textId="4C542093" w:rsidR="004B11D7" w:rsidRP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 xml:space="preserve">Журналирование должно быть безопасно: чувствительные заголовки (authorization, cookie) </w:t>
            </w:r>
            <w:r w:rsidRPr="004B11D7">
              <w:rPr>
                <w:b/>
                <w:bCs/>
              </w:rPr>
              <w:t>автоматически маскируются</w:t>
            </w:r>
            <w:r w:rsidRPr="004B11D7">
              <w:t xml:space="preserve"> и печатаются как &lt;masked&gt;</w:t>
            </w:r>
          </w:p>
        </w:tc>
      </w:tr>
      <w:tr w:rsidR="004B11D7" w:rsidRPr="004B11D7" w14:paraId="67F8EA36" w14:textId="77777777" w:rsidTr="004B11D7">
        <w:tc>
          <w:tcPr>
            <w:tcW w:w="4672" w:type="dxa"/>
          </w:tcPr>
          <w:p w14:paraId="17758D77" w14:textId="41DA2A18" w:rsid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4B11D7">
              <w:rPr>
                <w:b/>
                <w:bCs/>
              </w:rPr>
              <w:t>Контроль объёма</w:t>
            </w:r>
          </w:p>
        </w:tc>
        <w:tc>
          <w:tcPr>
            <w:tcW w:w="4673" w:type="dxa"/>
          </w:tcPr>
          <w:p w14:paraId="13C0D6B0" w14:textId="309CF1B6" w:rsidR="004B11D7" w:rsidRP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При использовании enableLogging=true на продуктивных средах необходимо обеспечить мониторинг объема логов</w:t>
            </w:r>
          </w:p>
        </w:tc>
      </w:tr>
      <w:tr w:rsidR="004B11D7" w:rsidRPr="004B11D7" w14:paraId="17ADD5CA" w14:textId="77777777" w:rsidTr="004B11D7">
        <w:tc>
          <w:tcPr>
            <w:tcW w:w="4672" w:type="dxa"/>
          </w:tcPr>
          <w:p w14:paraId="533E165F" w14:textId="4146951E" w:rsid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  <w:rPr>
                <w:lang w:val="en-US"/>
              </w:rPr>
            </w:pPr>
            <w:r w:rsidRPr="004B11D7">
              <w:rPr>
                <w:b/>
                <w:bCs/>
              </w:rPr>
              <w:t>Текст ошибки</w:t>
            </w:r>
          </w:p>
        </w:tc>
        <w:tc>
          <w:tcPr>
            <w:tcW w:w="4673" w:type="dxa"/>
          </w:tcPr>
          <w:p w14:paraId="0FED24EA" w14:textId="55E9023A" w:rsidR="004B11D7" w:rsidRPr="004B11D7" w:rsidRDefault="004B11D7" w:rsidP="004B11D7">
            <w:pPr>
              <w:pStyle w:val="a"/>
              <w:numPr>
                <w:ilvl w:val="0"/>
                <w:numId w:val="0"/>
              </w:numPr>
              <w:spacing w:before="0" w:after="0"/>
            </w:pPr>
            <w:r w:rsidRPr="004B11D7">
              <w:t>При блокировке доступа в логах должна появиться запись Access denied (deny-on-match)..., а пользователю отображается локализованное сообщение: «Доступ запрещен: обнаружено совпадение роли и заголовка»</w:t>
            </w:r>
          </w:p>
        </w:tc>
      </w:tr>
    </w:tbl>
    <w:p w14:paraId="5509F240" w14:textId="77777777" w:rsidR="004B11D7" w:rsidRPr="00E708D6" w:rsidRDefault="004B11D7" w:rsidP="004B11D7">
      <w:pPr>
        <w:pStyle w:val="a"/>
        <w:numPr>
          <w:ilvl w:val="0"/>
          <w:numId w:val="0"/>
        </w:numPr>
        <w:spacing w:before="0" w:after="0"/>
        <w:ind w:left="1287"/>
      </w:pPr>
    </w:p>
    <w:p w14:paraId="5EA14006" w14:textId="7F62E220" w:rsidR="004B11D7" w:rsidRDefault="004B11D7" w:rsidP="00B76885">
      <w:pPr>
        <w:pStyle w:val="a"/>
        <w:numPr>
          <w:ilvl w:val="0"/>
          <w:numId w:val="7"/>
        </w:numPr>
        <w:spacing w:before="0" w:after="0"/>
        <w:rPr>
          <w:lang w:val="en-US"/>
        </w:rPr>
      </w:pPr>
      <w:r w:rsidRPr="004B11D7">
        <w:t>Диагностика (Troubleshooting)</w:t>
      </w:r>
    </w:p>
    <w:p w14:paraId="63DC6700" w14:textId="0D2C455A" w:rsidR="004B11D7" w:rsidRPr="00E708D6" w:rsidRDefault="004B11D7" w:rsidP="004B11D7">
      <w:pPr>
        <w:pStyle w:val="a"/>
        <w:numPr>
          <w:ilvl w:val="0"/>
          <w:numId w:val="0"/>
        </w:numPr>
        <w:spacing w:before="0" w:after="0"/>
        <w:ind w:left="1287"/>
      </w:pPr>
      <w:r w:rsidRPr="004B11D7">
        <w:t>При возникновении проблем с доступом следует проверить следующие элементы</w:t>
      </w:r>
    </w:p>
    <w:p w14:paraId="26D5FBCE" w14:textId="486B0F6F" w:rsidR="004B11D7" w:rsidRPr="00072A2D" w:rsidRDefault="004B11D7" w:rsidP="004B11D7">
      <w:pPr>
        <w:pStyle w:val="a"/>
        <w:ind w:left="1287"/>
      </w:pPr>
      <w:r w:rsidRPr="004B11D7">
        <w:rPr>
          <w:b/>
          <w:bCs/>
        </w:rPr>
        <w:t>Активность</w:t>
      </w:r>
      <w:r w:rsidRPr="00072A2D">
        <w:rPr>
          <w:b/>
          <w:bCs/>
        </w:rPr>
        <w:t>:</w:t>
      </w:r>
      <w:r w:rsidRPr="00072A2D">
        <w:t xml:space="preserve"> </w:t>
      </w:r>
      <w:r w:rsidRPr="004B11D7">
        <w:t>Убедитесь</w:t>
      </w:r>
      <w:r w:rsidRPr="00072A2D">
        <w:t xml:space="preserve">, </w:t>
      </w:r>
      <w:r w:rsidRPr="004B11D7">
        <w:t>что</w:t>
      </w:r>
      <w:r w:rsidRPr="00072A2D">
        <w:t xml:space="preserve"> </w:t>
      </w:r>
      <w:r w:rsidRPr="004B11D7">
        <w:rPr>
          <w:lang w:val="en-US"/>
        </w:rPr>
        <w:t>Execution</w:t>
      </w:r>
      <w:r w:rsidRPr="00072A2D">
        <w:t xml:space="preserve"> </w:t>
      </w:r>
      <w:r w:rsidRPr="004B11D7">
        <w:rPr>
          <w:b/>
          <w:bCs/>
        </w:rPr>
        <w:t>активен</w:t>
      </w:r>
      <w:r w:rsidRPr="00072A2D">
        <w:t xml:space="preserve"> </w:t>
      </w:r>
      <w:r w:rsidRPr="004B11D7">
        <w:t>и</w:t>
      </w:r>
      <w:r w:rsidRPr="00072A2D">
        <w:t xml:space="preserve"> </w:t>
      </w:r>
      <w:r w:rsidRPr="004B11D7">
        <w:t>имеет</w:t>
      </w:r>
      <w:r w:rsidRPr="00072A2D">
        <w:t xml:space="preserve"> </w:t>
      </w:r>
      <w:r w:rsidRPr="004B11D7">
        <w:t>корректный</w:t>
      </w:r>
      <w:r w:rsidRPr="00072A2D">
        <w:t xml:space="preserve"> </w:t>
      </w:r>
      <w:r w:rsidRPr="004B11D7">
        <w:rPr>
          <w:lang w:val="en-US"/>
        </w:rPr>
        <w:t>Requirement</w:t>
      </w:r>
      <w:r w:rsidRPr="00072A2D">
        <w:t xml:space="preserve"> (</w:t>
      </w:r>
      <w:r w:rsidRPr="004B11D7">
        <w:rPr>
          <w:lang w:val="en-US"/>
        </w:rPr>
        <w:t>REQUIRED</w:t>
      </w:r>
      <w:r w:rsidRPr="00072A2D">
        <w:t xml:space="preserve"> </w:t>
      </w:r>
      <w:r w:rsidRPr="004B11D7">
        <w:t>или</w:t>
      </w:r>
      <w:r w:rsidRPr="00072A2D">
        <w:t xml:space="preserve"> </w:t>
      </w:r>
      <w:r w:rsidRPr="004B11D7">
        <w:rPr>
          <w:lang w:val="en-US"/>
        </w:rPr>
        <w:t>ALTERNATIVE</w:t>
      </w:r>
      <w:r w:rsidRPr="00072A2D">
        <w:t>)</w:t>
      </w:r>
    </w:p>
    <w:p w14:paraId="32C6BF3F" w14:textId="11778A71" w:rsidR="004B11D7" w:rsidRPr="004B11D7" w:rsidRDefault="004B11D7" w:rsidP="004B11D7">
      <w:pPr>
        <w:pStyle w:val="a"/>
        <w:ind w:left="1287"/>
      </w:pPr>
      <w:r w:rsidRPr="004B11D7">
        <w:rPr>
          <w:b/>
          <w:bCs/>
        </w:rPr>
        <w:t>Роли и Группы:</w:t>
      </w:r>
      <w:r w:rsidRPr="004B11D7">
        <w:t xml:space="preserve"> Проверьте, что имя роли в конфигурации (requiredRole) совпадает, и пользователь </w:t>
      </w:r>
      <w:r w:rsidRPr="004B11D7">
        <w:rPr>
          <w:b/>
          <w:bCs/>
        </w:rPr>
        <w:t>действительно обладает</w:t>
      </w:r>
      <w:r w:rsidRPr="004B11D7">
        <w:t xml:space="preserve"> этой ролью (включая роли групп)</w:t>
      </w:r>
    </w:p>
    <w:p w14:paraId="5B8607A7" w14:textId="16097D43" w:rsidR="004B11D7" w:rsidRPr="004B11D7" w:rsidRDefault="004B11D7" w:rsidP="004B11D7">
      <w:pPr>
        <w:pStyle w:val="a"/>
        <w:ind w:left="1287"/>
      </w:pPr>
      <w:r w:rsidRPr="004B11D7">
        <w:rPr>
          <w:b/>
          <w:bCs/>
        </w:rPr>
        <w:t>Передача Заголовка:</w:t>
      </w:r>
      <w:r w:rsidRPr="004B11D7">
        <w:t xml:space="preserve"> Проверьте, что промежуточные прокси/балансировщики настроены на сквозную передачу заголовка (headerName) до Keycloak</w:t>
      </w:r>
    </w:p>
    <w:p w14:paraId="245D344A" w14:textId="29B8BA67" w:rsidR="004B11D7" w:rsidRPr="004B11D7" w:rsidRDefault="004B11D7" w:rsidP="004B11D7">
      <w:pPr>
        <w:pStyle w:val="a"/>
        <w:ind w:left="1287"/>
      </w:pPr>
      <w:r w:rsidRPr="004B11D7">
        <w:rPr>
          <w:b/>
          <w:bCs/>
        </w:rPr>
        <w:t>Логи:</w:t>
      </w:r>
      <w:r w:rsidRPr="004B11D7">
        <w:t xml:space="preserve"> Проверьте логи Keycloak на предмет сообщений о маскировании заголовков (&lt;masked&gt;) и записей об отказе в доступе (Access denied (deny-on-match)...)</w:t>
      </w:r>
    </w:p>
    <w:p w14:paraId="68F7F2A0" w14:textId="77777777" w:rsidR="004B11D7" w:rsidRPr="004B11D7" w:rsidRDefault="004B11D7" w:rsidP="004B11D7">
      <w:pPr>
        <w:pStyle w:val="a"/>
        <w:numPr>
          <w:ilvl w:val="0"/>
          <w:numId w:val="0"/>
        </w:numPr>
        <w:spacing w:before="0" w:after="0"/>
        <w:ind w:left="1287"/>
      </w:pPr>
    </w:p>
    <w:p w14:paraId="790A3A71" w14:textId="77777777" w:rsidR="00927DF1" w:rsidRPr="004B11D7" w:rsidRDefault="00927DF1" w:rsidP="00A20C47">
      <w:pPr>
        <w:spacing w:before="0" w:after="0"/>
      </w:pPr>
    </w:p>
    <w:p w14:paraId="70795E68" w14:textId="77777777" w:rsidR="004B11D7" w:rsidRPr="004B11D7" w:rsidRDefault="004B11D7" w:rsidP="00A20C47">
      <w:pPr>
        <w:spacing w:before="0" w:after="0"/>
      </w:pPr>
    </w:p>
    <w:p w14:paraId="3B332906" w14:textId="77777777" w:rsidR="004B11D7" w:rsidRPr="004B11D7" w:rsidRDefault="004B11D7" w:rsidP="00A20C47">
      <w:pPr>
        <w:spacing w:before="0" w:after="0"/>
      </w:pPr>
    </w:p>
    <w:p w14:paraId="4D1ED802" w14:textId="63D4D01F" w:rsidR="00927DF1" w:rsidRPr="00072A2D" w:rsidRDefault="00927DF1" w:rsidP="00072A2D">
      <w:pPr>
        <w:pStyle w:val="10"/>
        <w:numPr>
          <w:ilvl w:val="0"/>
          <w:numId w:val="0"/>
        </w:numPr>
      </w:pPr>
    </w:p>
    <w:p w14:paraId="5BA7A495" w14:textId="77777777" w:rsidR="00927DF1" w:rsidRDefault="00927DF1" w:rsidP="00A20C47">
      <w:pPr>
        <w:spacing w:before="0" w:after="0"/>
      </w:pPr>
    </w:p>
    <w:sectPr w:rsidR="00927DF1" w:rsidSect="00E134F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F06CCC" w14:textId="77777777" w:rsidR="00922E83" w:rsidRDefault="00922E83" w:rsidP="0053679A">
      <w:r>
        <w:separator/>
      </w:r>
    </w:p>
  </w:endnote>
  <w:endnote w:type="continuationSeparator" w:id="0">
    <w:p w14:paraId="1B0ED35F" w14:textId="77777777" w:rsidR="00922E83" w:rsidRDefault="00922E83" w:rsidP="00536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D5ABA" w14:textId="77777777" w:rsidR="00922E83" w:rsidRDefault="00922E83" w:rsidP="0053679A">
      <w:r>
        <w:separator/>
      </w:r>
    </w:p>
  </w:footnote>
  <w:footnote w:type="continuationSeparator" w:id="0">
    <w:p w14:paraId="50F50B56" w14:textId="77777777" w:rsidR="00922E83" w:rsidRDefault="00922E83" w:rsidP="00536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3"/>
      <w:gridCol w:w="5529"/>
      <w:gridCol w:w="1701"/>
    </w:tblGrid>
    <w:tr w:rsidR="00304000" w:rsidRPr="00314F35" w14:paraId="3EA956D5" w14:textId="77777777" w:rsidTr="0034050E">
      <w:trPr>
        <w:trHeight w:val="848"/>
        <w:jc w:val="center"/>
      </w:trPr>
      <w:tc>
        <w:tcPr>
          <w:tcW w:w="2263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EF7C697" w14:textId="77777777" w:rsidR="00304000" w:rsidRPr="00C05362" w:rsidRDefault="0034050E" w:rsidP="0034050E">
          <w:pPr>
            <w:pStyle w:val="ad"/>
            <w:jc w:val="left"/>
          </w:pPr>
          <w:r>
            <w:rPr>
              <w:noProof/>
              <w:lang w:eastAsia="ru-RU"/>
            </w:rPr>
            <w:drawing>
              <wp:inline distT="0" distB="0" distL="0" distR="0" wp14:anchorId="02E40A2F" wp14:editId="01676640">
                <wp:extent cx="1447800" cy="666750"/>
                <wp:effectExtent l="0" t="0" r="0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666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8A4C98" w14:textId="43C02270" w:rsidR="00304000" w:rsidRPr="006D5DB0" w:rsidRDefault="005C0C58" w:rsidP="0053679A">
          <w:pPr>
            <w:pStyle w:val="ad"/>
            <w:rPr>
              <w:lang w:val="en-US"/>
            </w:rPr>
          </w:pPr>
          <w:r>
            <w:rPr>
              <w:lang w:val="en-US"/>
            </w:rPr>
            <w:t>RT KEYID</w:t>
          </w:r>
        </w:p>
      </w:tc>
    </w:tr>
    <w:tr w:rsidR="00304000" w:rsidRPr="00314F35" w14:paraId="5CDDF394" w14:textId="77777777" w:rsidTr="0034050E">
      <w:trPr>
        <w:trHeight w:val="124"/>
        <w:jc w:val="center"/>
      </w:trPr>
      <w:tc>
        <w:tcPr>
          <w:tcW w:w="2263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750DB6" w14:textId="77777777" w:rsidR="00304000" w:rsidRPr="00314F35" w:rsidRDefault="00304000" w:rsidP="0053679A">
          <w:pPr>
            <w:pStyle w:val="ad"/>
          </w:pPr>
        </w:p>
      </w:tc>
      <w:tc>
        <w:tcPr>
          <w:tcW w:w="55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29BBAEA" w14:textId="59633630" w:rsidR="00304000" w:rsidRPr="000B5B6D" w:rsidRDefault="00724CD5" w:rsidP="0053679A">
          <w:pPr>
            <w:pStyle w:val="ad"/>
          </w:pPr>
          <w:r>
            <w:t>Инструкция по установке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B5E548A" w14:textId="5CB3AD45" w:rsidR="00304000" w:rsidRPr="00314F35" w:rsidRDefault="00304000" w:rsidP="0053679A">
          <w:pPr>
            <w:pStyle w:val="ad"/>
          </w:pPr>
          <w:r w:rsidRPr="00314F35">
            <w:t xml:space="preserve">Стр. </w:t>
          </w:r>
          <w:r w:rsidRPr="00314F35">
            <w:fldChar w:fldCharType="begin"/>
          </w:r>
          <w:r w:rsidRPr="00314F35">
            <w:instrText xml:space="preserve"> PAGE </w:instrText>
          </w:r>
          <w:r w:rsidRPr="00314F35">
            <w:fldChar w:fldCharType="separate"/>
          </w:r>
          <w:r w:rsidR="00B76885">
            <w:rPr>
              <w:noProof/>
            </w:rPr>
            <w:t>6</w:t>
          </w:r>
          <w:r w:rsidRPr="00314F35">
            <w:fldChar w:fldCharType="end"/>
          </w:r>
          <w:r w:rsidRPr="00314F35">
            <w:t xml:space="preserve"> из </w:t>
          </w:r>
          <w:fldSimple w:instr=" NUMPAGES ">
            <w:r w:rsidR="00B76885">
              <w:rPr>
                <w:noProof/>
              </w:rPr>
              <w:t>6</w:t>
            </w:r>
          </w:fldSimple>
        </w:p>
      </w:tc>
    </w:tr>
  </w:tbl>
  <w:p w14:paraId="49D66439" w14:textId="77777777" w:rsidR="00021E7D" w:rsidRDefault="00021E7D" w:rsidP="0053679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557"/>
    <w:multiLevelType w:val="multilevel"/>
    <w:tmpl w:val="D7E271DE"/>
    <w:styleLink w:val="Bullet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52"/>
        </w:tabs>
        <w:ind w:left="1152" w:hanging="288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B86F40"/>
    <w:multiLevelType w:val="multilevel"/>
    <w:tmpl w:val="5E4021D6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bullet"/>
      <w:pStyle w:val="1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3275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 w15:restartNumberingAfterBreak="0">
    <w:nsid w:val="29F303DF"/>
    <w:multiLevelType w:val="multilevel"/>
    <w:tmpl w:val="E8B88DB2"/>
    <w:lvl w:ilvl="0">
      <w:start w:val="1"/>
      <w:numFmt w:val="decimal"/>
      <w:pStyle w:val="10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8F44558"/>
    <w:multiLevelType w:val="multilevel"/>
    <w:tmpl w:val="7748886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3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62AD4B25"/>
    <w:multiLevelType w:val="multilevel"/>
    <w:tmpl w:val="F0E08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3272049"/>
    <w:multiLevelType w:val="hybridMultilevel"/>
    <w:tmpl w:val="1CAAF130"/>
    <w:lvl w:ilvl="0" w:tplc="3F6698BE">
      <w:start w:val="1"/>
      <w:numFmt w:val="bullet"/>
      <w:pStyle w:val="a"/>
      <w:lvlText w:val=""/>
      <w:lvlJc w:val="left"/>
      <w:pPr>
        <w:ind w:left="1068" w:hanging="360"/>
      </w:pPr>
      <w:rPr>
        <w:rFonts w:ascii="Symbol" w:hAnsi="Symbol" w:cs="Times New Roman" w:hint="default"/>
        <w:caps/>
        <w:sz w:val="1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A0D0CFD"/>
    <w:multiLevelType w:val="hybridMultilevel"/>
    <w:tmpl w:val="2DE40790"/>
    <w:lvl w:ilvl="0" w:tplc="E7ECED4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E6"/>
    <w:rsid w:val="00013CA0"/>
    <w:rsid w:val="00021E7D"/>
    <w:rsid w:val="0004617B"/>
    <w:rsid w:val="00072A2D"/>
    <w:rsid w:val="000A7778"/>
    <w:rsid w:val="000A7A45"/>
    <w:rsid w:val="000F37DB"/>
    <w:rsid w:val="00116DA5"/>
    <w:rsid w:val="00152F61"/>
    <w:rsid w:val="001F0800"/>
    <w:rsid w:val="001F6088"/>
    <w:rsid w:val="00230507"/>
    <w:rsid w:val="0024209B"/>
    <w:rsid w:val="002A019D"/>
    <w:rsid w:val="00304000"/>
    <w:rsid w:val="0034050E"/>
    <w:rsid w:val="00365FE5"/>
    <w:rsid w:val="00380D17"/>
    <w:rsid w:val="003836CC"/>
    <w:rsid w:val="00386DBD"/>
    <w:rsid w:val="003D6AE6"/>
    <w:rsid w:val="004257BF"/>
    <w:rsid w:val="00484DBB"/>
    <w:rsid w:val="004948CD"/>
    <w:rsid w:val="004B11D7"/>
    <w:rsid w:val="00513203"/>
    <w:rsid w:val="0053679A"/>
    <w:rsid w:val="005616FF"/>
    <w:rsid w:val="0059092D"/>
    <w:rsid w:val="005A0112"/>
    <w:rsid w:val="005C0C58"/>
    <w:rsid w:val="005C2BE8"/>
    <w:rsid w:val="005E2391"/>
    <w:rsid w:val="0060742E"/>
    <w:rsid w:val="00632DED"/>
    <w:rsid w:val="00684FE4"/>
    <w:rsid w:val="00690351"/>
    <w:rsid w:val="006D5053"/>
    <w:rsid w:val="006D5DB0"/>
    <w:rsid w:val="006F258C"/>
    <w:rsid w:val="006F4169"/>
    <w:rsid w:val="0070742B"/>
    <w:rsid w:val="007122EA"/>
    <w:rsid w:val="00724CD5"/>
    <w:rsid w:val="007279CA"/>
    <w:rsid w:val="0073435C"/>
    <w:rsid w:val="0079066F"/>
    <w:rsid w:val="007C264A"/>
    <w:rsid w:val="007C6754"/>
    <w:rsid w:val="007D4CC0"/>
    <w:rsid w:val="00827628"/>
    <w:rsid w:val="00873D9F"/>
    <w:rsid w:val="008A0CB2"/>
    <w:rsid w:val="008C284C"/>
    <w:rsid w:val="008F1A3F"/>
    <w:rsid w:val="008F5176"/>
    <w:rsid w:val="00922E83"/>
    <w:rsid w:val="00927DF1"/>
    <w:rsid w:val="00941EF7"/>
    <w:rsid w:val="00A04B86"/>
    <w:rsid w:val="00A13C5E"/>
    <w:rsid w:val="00A20C47"/>
    <w:rsid w:val="00A30440"/>
    <w:rsid w:val="00A33362"/>
    <w:rsid w:val="00A57F50"/>
    <w:rsid w:val="00A91A9A"/>
    <w:rsid w:val="00B76885"/>
    <w:rsid w:val="00B9395A"/>
    <w:rsid w:val="00BC554A"/>
    <w:rsid w:val="00C01CBD"/>
    <w:rsid w:val="00C21FEB"/>
    <w:rsid w:val="00C37EA1"/>
    <w:rsid w:val="00C42810"/>
    <w:rsid w:val="00C813B0"/>
    <w:rsid w:val="00CD1380"/>
    <w:rsid w:val="00D97916"/>
    <w:rsid w:val="00DA077C"/>
    <w:rsid w:val="00DB4DF4"/>
    <w:rsid w:val="00DF35E6"/>
    <w:rsid w:val="00E02660"/>
    <w:rsid w:val="00E03B38"/>
    <w:rsid w:val="00E10B4B"/>
    <w:rsid w:val="00E134F9"/>
    <w:rsid w:val="00E708D6"/>
    <w:rsid w:val="00E72F17"/>
    <w:rsid w:val="00E732CC"/>
    <w:rsid w:val="00EE0CC6"/>
    <w:rsid w:val="00EF2510"/>
    <w:rsid w:val="00F16400"/>
    <w:rsid w:val="00F44476"/>
    <w:rsid w:val="00F563D5"/>
    <w:rsid w:val="00FC22A1"/>
    <w:rsid w:val="00FE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1FB45"/>
  <w15:chartTrackingRefBased/>
  <w15:docId w15:val="{9F0B1059-D272-4C5E-805A-5376B525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3679A"/>
    <w:pPr>
      <w:spacing w:before="120" w:after="12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0"/>
    <w:next w:val="a0"/>
    <w:link w:val="11"/>
    <w:uiPriority w:val="9"/>
    <w:qFormat/>
    <w:rsid w:val="00941EF7"/>
    <w:pPr>
      <w:keepNext/>
      <w:keepLines/>
      <w:numPr>
        <w:numId w:val="6"/>
      </w:numPr>
      <w:outlineLvl w:val="0"/>
    </w:pPr>
    <w:rPr>
      <w:rFonts w:eastAsiaTheme="majorEastAsia"/>
      <w:b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A30440"/>
    <w:pPr>
      <w:keepNext/>
      <w:keepLines/>
      <w:numPr>
        <w:ilvl w:val="1"/>
        <w:numId w:val="3"/>
      </w:numPr>
      <w:spacing w:before="240" w:after="0"/>
      <w:jc w:val="left"/>
      <w:outlineLvl w:val="1"/>
    </w:pPr>
    <w:rPr>
      <w:rFonts w:eastAsiaTheme="majorEastAsia"/>
      <w:b/>
      <w:sz w:val="32"/>
      <w:szCs w:val="32"/>
    </w:rPr>
  </w:style>
  <w:style w:type="paragraph" w:styleId="3">
    <w:name w:val="heading 3"/>
    <w:basedOn w:val="a0"/>
    <w:next w:val="a0"/>
    <w:link w:val="30"/>
    <w:autoRedefine/>
    <w:uiPriority w:val="9"/>
    <w:unhideWhenUsed/>
    <w:qFormat/>
    <w:rsid w:val="00941EF7"/>
    <w:pPr>
      <w:keepNext/>
      <w:keepLines/>
      <w:numPr>
        <w:ilvl w:val="1"/>
        <w:numId w:val="1"/>
      </w:numPr>
      <w:spacing w:before="40" w:after="0"/>
      <w:outlineLvl w:val="2"/>
    </w:pPr>
    <w:rPr>
      <w:rFonts w:eastAsiaTheme="majorEastAsia"/>
      <w:b/>
      <w:sz w:val="28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E2391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5E2391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5E239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5E239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5E239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E239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941EF7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30440"/>
    <w:rPr>
      <w:rFonts w:ascii="Times New Roman" w:eastAsiaTheme="majorEastAsia" w:hAnsi="Times New Roman" w:cs="Times New Roman"/>
      <w:b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941EF7"/>
    <w:rPr>
      <w:rFonts w:ascii="Times New Roman" w:eastAsiaTheme="majorEastAsia" w:hAnsi="Times New Roman" w:cs="Times New Roman"/>
      <w:b/>
      <w:sz w:val="28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E239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5E2391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5E239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5E239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5E2391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E239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ru-RU"/>
    </w:rPr>
  </w:style>
  <w:style w:type="paragraph" w:styleId="a">
    <w:name w:val="List Paragraph"/>
    <w:aliases w:val="Bullet 1,Use Case List Paragraph,Основной текст документа,3,Список с булитами,Абзац маркированнный"/>
    <w:basedOn w:val="a0"/>
    <w:link w:val="a4"/>
    <w:uiPriority w:val="34"/>
    <w:qFormat/>
    <w:rsid w:val="005A0112"/>
    <w:pPr>
      <w:numPr>
        <w:numId w:val="5"/>
      </w:numPr>
      <w:contextualSpacing/>
    </w:pPr>
  </w:style>
  <w:style w:type="character" w:customStyle="1" w:styleId="a4">
    <w:name w:val="Абзац списка Знак"/>
    <w:aliases w:val="Bullet 1 Знак,Use Case List Paragraph Знак,Основной текст документа Знак,3 Знак,Список с булитами Знак,Абзац маркированнный Знак"/>
    <w:link w:val="a"/>
    <w:uiPriority w:val="34"/>
    <w:rsid w:val="005A01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Title"/>
    <w:basedOn w:val="a0"/>
    <w:next w:val="a0"/>
    <w:link w:val="a6"/>
    <w:uiPriority w:val="10"/>
    <w:qFormat/>
    <w:rsid w:val="005E2391"/>
    <w:pPr>
      <w:spacing w:before="0" w:after="240" w:line="240" w:lineRule="auto"/>
      <w:contextualSpacing/>
      <w:jc w:val="center"/>
    </w:pPr>
    <w:rPr>
      <w:rFonts w:eastAsiaTheme="majorEastAsia"/>
      <w:b/>
      <w:spacing w:val="-10"/>
      <w:kern w:val="28"/>
      <w:sz w:val="32"/>
      <w:szCs w:val="32"/>
    </w:rPr>
  </w:style>
  <w:style w:type="character" w:customStyle="1" w:styleId="a6">
    <w:name w:val="Заголовок Знак"/>
    <w:basedOn w:val="a1"/>
    <w:link w:val="a5"/>
    <w:uiPriority w:val="10"/>
    <w:rsid w:val="005E2391"/>
    <w:rPr>
      <w:rFonts w:ascii="Times New Roman" w:eastAsiaTheme="majorEastAsia" w:hAnsi="Times New Roman" w:cs="Times New Roman"/>
      <w:b/>
      <w:spacing w:val="-10"/>
      <w:kern w:val="28"/>
      <w:sz w:val="32"/>
      <w:szCs w:val="32"/>
      <w:lang w:eastAsia="ru-RU"/>
    </w:rPr>
  </w:style>
  <w:style w:type="paragraph" w:styleId="a7">
    <w:name w:val="Subtitle"/>
    <w:basedOn w:val="a0"/>
    <w:next w:val="a0"/>
    <w:link w:val="a8"/>
    <w:uiPriority w:val="11"/>
    <w:qFormat/>
    <w:rsid w:val="005E2391"/>
    <w:pPr>
      <w:numPr>
        <w:ilvl w:val="1"/>
      </w:numPr>
      <w:spacing w:after="160" w:line="240" w:lineRule="auto"/>
      <w:ind w:firstLine="720"/>
      <w:jc w:val="center"/>
    </w:pPr>
    <w:rPr>
      <w:rFonts w:eastAsiaTheme="minorEastAsia"/>
      <w:b/>
      <w:color w:val="000000" w:themeColor="text1"/>
      <w:spacing w:val="15"/>
      <w:sz w:val="28"/>
      <w:szCs w:val="28"/>
    </w:rPr>
  </w:style>
  <w:style w:type="character" w:customStyle="1" w:styleId="a8">
    <w:name w:val="Подзаголовок Знак"/>
    <w:basedOn w:val="a1"/>
    <w:link w:val="a7"/>
    <w:uiPriority w:val="11"/>
    <w:rsid w:val="005E2391"/>
    <w:rPr>
      <w:rFonts w:ascii="Times New Roman" w:eastAsiaTheme="minorEastAsia" w:hAnsi="Times New Roman" w:cs="Times New Roman"/>
      <w:b/>
      <w:color w:val="000000" w:themeColor="text1"/>
      <w:spacing w:val="15"/>
      <w:sz w:val="28"/>
      <w:szCs w:val="28"/>
      <w:lang w:eastAsia="ru-RU"/>
    </w:rPr>
  </w:style>
  <w:style w:type="paragraph" w:styleId="a9">
    <w:name w:val="header"/>
    <w:basedOn w:val="a0"/>
    <w:link w:val="aa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021E7D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021E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Колонтитул"/>
    <w:basedOn w:val="a0"/>
    <w:link w:val="ae"/>
    <w:qFormat/>
    <w:rsid w:val="00021E7D"/>
    <w:pPr>
      <w:spacing w:before="0" w:after="0"/>
      <w:ind w:left="-107" w:hanging="3"/>
      <w:jc w:val="center"/>
    </w:pPr>
    <w:rPr>
      <w:rFonts w:eastAsiaTheme="minorHAnsi"/>
      <w:sz w:val="20"/>
      <w:szCs w:val="20"/>
      <w:lang w:eastAsia="en-US"/>
    </w:rPr>
  </w:style>
  <w:style w:type="character" w:customStyle="1" w:styleId="ae">
    <w:name w:val="Колонтитул Знак"/>
    <w:basedOn w:val="a1"/>
    <w:link w:val="ad"/>
    <w:rsid w:val="00021E7D"/>
    <w:rPr>
      <w:rFonts w:ascii="Times New Roman" w:hAnsi="Times New Roman" w:cs="Times New Roman"/>
      <w:sz w:val="20"/>
      <w:szCs w:val="20"/>
    </w:rPr>
  </w:style>
  <w:style w:type="numbering" w:customStyle="1" w:styleId="Bulleted4">
    <w:name w:val="Bulleted 4"/>
    <w:basedOn w:val="a3"/>
    <w:rsid w:val="008A0CB2"/>
    <w:pPr>
      <w:numPr>
        <w:numId w:val="2"/>
      </w:numPr>
    </w:pPr>
  </w:style>
  <w:style w:type="character" w:styleId="af">
    <w:name w:val="Hyperlink"/>
    <w:basedOn w:val="a1"/>
    <w:uiPriority w:val="99"/>
    <w:unhideWhenUsed/>
    <w:rsid w:val="00827628"/>
    <w:rPr>
      <w:i/>
      <w:color w:val="0000FF"/>
      <w:u w:val="none"/>
    </w:rPr>
  </w:style>
  <w:style w:type="paragraph" w:styleId="21">
    <w:name w:val="Quote"/>
    <w:basedOn w:val="a0"/>
    <w:next w:val="a0"/>
    <w:link w:val="22"/>
    <w:uiPriority w:val="29"/>
    <w:qFormat/>
    <w:rsid w:val="00827628"/>
    <w:pPr>
      <w:spacing w:before="200" w:after="0"/>
      <w:ind w:left="864" w:right="864"/>
      <w:jc w:val="center"/>
    </w:pPr>
    <w:rPr>
      <w:rFonts w:eastAsiaTheme="minorHAnsi"/>
      <w:i/>
      <w:iCs/>
      <w:color w:val="262626" w:themeColor="text1" w:themeTint="D9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827628"/>
    <w:rPr>
      <w:rFonts w:ascii="Times New Roman" w:hAnsi="Times New Roman" w:cs="Times New Roman"/>
      <w:i/>
      <w:iCs/>
      <w:color w:val="262626" w:themeColor="text1" w:themeTint="D9"/>
      <w:sz w:val="24"/>
      <w:szCs w:val="24"/>
    </w:rPr>
  </w:style>
  <w:style w:type="paragraph" w:styleId="af0">
    <w:name w:val="TOC Heading"/>
    <w:basedOn w:val="10"/>
    <w:next w:val="a0"/>
    <w:uiPriority w:val="39"/>
    <w:unhideWhenUsed/>
    <w:qFormat/>
    <w:rsid w:val="00304000"/>
    <w:pPr>
      <w:numPr>
        <w:numId w:val="0"/>
      </w:numPr>
      <w:spacing w:before="240" w:after="0" w:line="259" w:lineRule="auto"/>
      <w:jc w:val="left"/>
      <w:outlineLvl w:val="9"/>
    </w:pPr>
    <w:rPr>
      <w:color w:val="2E74B5" w:themeColor="accent1" w:themeShade="BF"/>
    </w:rPr>
  </w:style>
  <w:style w:type="paragraph" w:styleId="23">
    <w:name w:val="toc 2"/>
    <w:basedOn w:val="a0"/>
    <w:next w:val="a0"/>
    <w:autoRedefine/>
    <w:uiPriority w:val="39"/>
    <w:unhideWhenUsed/>
    <w:rsid w:val="00CD1380"/>
    <w:pPr>
      <w:tabs>
        <w:tab w:val="left" w:pos="567"/>
        <w:tab w:val="left" w:pos="880"/>
        <w:tab w:val="right" w:leader="dot" w:pos="9345"/>
      </w:tabs>
      <w:spacing w:before="0" w:after="0" w:line="240" w:lineRule="auto"/>
      <w:ind w:left="284" w:firstLine="142"/>
    </w:pPr>
  </w:style>
  <w:style w:type="paragraph" w:customStyle="1" w:styleId="af1">
    <w:name w:val="ЧТЗ_Обычный текст"/>
    <w:basedOn w:val="a0"/>
    <w:link w:val="af2"/>
    <w:qFormat/>
    <w:rsid w:val="00FC22A1"/>
    <w:pPr>
      <w:widowControl w:val="0"/>
      <w:spacing w:before="0" w:after="0"/>
      <w:ind w:firstLine="709"/>
    </w:pPr>
    <w:rPr>
      <w:rFonts w:eastAsia="Calibri"/>
    </w:rPr>
  </w:style>
  <w:style w:type="paragraph" w:customStyle="1" w:styleId="1">
    <w:name w:val="ЧТЗ_Список 1"/>
    <w:basedOn w:val="a0"/>
    <w:link w:val="12"/>
    <w:qFormat/>
    <w:rsid w:val="00FC22A1"/>
    <w:pPr>
      <w:widowControl w:val="0"/>
      <w:numPr>
        <w:ilvl w:val="1"/>
        <w:numId w:val="4"/>
      </w:numPr>
      <w:spacing w:before="0" w:after="0"/>
    </w:pPr>
    <w:rPr>
      <w:rFonts w:eastAsia="MS Gothic"/>
      <w:bCs/>
    </w:rPr>
  </w:style>
  <w:style w:type="character" w:customStyle="1" w:styleId="af2">
    <w:name w:val="ЧТЗ_Обычный текст Знак"/>
    <w:basedOn w:val="a1"/>
    <w:link w:val="af1"/>
    <w:rsid w:val="00FC22A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2">
    <w:name w:val="ЧТЗ_Список 1 Знак"/>
    <w:basedOn w:val="a1"/>
    <w:link w:val="1"/>
    <w:rsid w:val="00FC22A1"/>
    <w:rPr>
      <w:rFonts w:ascii="Times New Roman" w:eastAsia="MS Gothic" w:hAnsi="Times New Roman" w:cs="Times New Roman"/>
      <w:bCs/>
      <w:sz w:val="24"/>
      <w:szCs w:val="24"/>
      <w:lang w:eastAsia="ru-RU"/>
    </w:rPr>
  </w:style>
  <w:style w:type="paragraph" w:styleId="af3">
    <w:name w:val="caption"/>
    <w:basedOn w:val="a0"/>
    <w:next w:val="a0"/>
    <w:uiPriority w:val="35"/>
    <w:unhideWhenUsed/>
    <w:qFormat/>
    <w:rsid w:val="0070742B"/>
    <w:pPr>
      <w:spacing w:before="0" w:after="200" w:line="240" w:lineRule="auto"/>
      <w:jc w:val="center"/>
    </w:pPr>
    <w:rPr>
      <w:i/>
      <w:iCs/>
      <w:color w:val="44546A" w:themeColor="text2"/>
      <w:sz w:val="18"/>
      <w:szCs w:val="18"/>
    </w:rPr>
  </w:style>
  <w:style w:type="paragraph" w:styleId="13">
    <w:name w:val="toc 1"/>
    <w:basedOn w:val="a0"/>
    <w:next w:val="a0"/>
    <w:autoRedefine/>
    <w:uiPriority w:val="39"/>
    <w:unhideWhenUsed/>
    <w:rsid w:val="00941EF7"/>
    <w:pPr>
      <w:spacing w:after="100"/>
    </w:pPr>
  </w:style>
  <w:style w:type="paragraph" w:styleId="31">
    <w:name w:val="toc 3"/>
    <w:basedOn w:val="a0"/>
    <w:next w:val="a0"/>
    <w:autoRedefine/>
    <w:uiPriority w:val="39"/>
    <w:unhideWhenUsed/>
    <w:rsid w:val="00941EF7"/>
    <w:pPr>
      <w:spacing w:after="100"/>
      <w:ind w:left="480"/>
    </w:pPr>
  </w:style>
  <w:style w:type="paragraph" w:customStyle="1" w:styleId="af4">
    <w:name w:val="Обычный (таблица)"/>
    <w:basedOn w:val="a0"/>
    <w:link w:val="af5"/>
    <w:qFormat/>
    <w:rsid w:val="00941EF7"/>
    <w:pPr>
      <w:keepLines/>
      <w:spacing w:before="0" w:after="0" w:line="240" w:lineRule="auto"/>
      <w:ind w:firstLine="0"/>
      <w:jc w:val="left"/>
    </w:pPr>
    <w:rPr>
      <w:sz w:val="22"/>
      <w:szCs w:val="22"/>
      <w:lang w:val="en-US"/>
    </w:rPr>
  </w:style>
  <w:style w:type="character" w:customStyle="1" w:styleId="af5">
    <w:name w:val="Обычный (таблица) Знак"/>
    <w:link w:val="af4"/>
    <w:rsid w:val="00941EF7"/>
    <w:rPr>
      <w:rFonts w:ascii="Times New Roman" w:eastAsia="Times New Roman" w:hAnsi="Times New Roman" w:cs="Times New Roman"/>
      <w:lang w:val="en-US" w:eastAsia="ru-RU"/>
    </w:rPr>
  </w:style>
  <w:style w:type="paragraph" w:customStyle="1" w:styleId="af6">
    <w:name w:val="Заг_Таб"/>
    <w:basedOn w:val="a0"/>
    <w:link w:val="af7"/>
    <w:qFormat/>
    <w:rsid w:val="00941EF7"/>
    <w:pPr>
      <w:keepNext/>
      <w:spacing w:before="0" w:after="0" w:line="276" w:lineRule="auto"/>
      <w:ind w:left="-110" w:firstLine="0"/>
      <w:jc w:val="center"/>
    </w:pPr>
    <w:rPr>
      <w:b/>
      <w:sz w:val="22"/>
      <w:szCs w:val="22"/>
    </w:rPr>
  </w:style>
  <w:style w:type="character" w:customStyle="1" w:styleId="af7">
    <w:name w:val="Заг_Таб Знак"/>
    <w:basedOn w:val="a1"/>
    <w:link w:val="af6"/>
    <w:rsid w:val="00941EF7"/>
    <w:rPr>
      <w:rFonts w:ascii="Times New Roman" w:eastAsia="Times New Roman" w:hAnsi="Times New Roman" w:cs="Times New Roman"/>
      <w:b/>
      <w:lang w:eastAsia="ru-RU"/>
    </w:rPr>
  </w:style>
  <w:style w:type="character" w:styleId="af8">
    <w:name w:val="Emphasis"/>
    <w:basedOn w:val="a1"/>
    <w:uiPriority w:val="20"/>
    <w:qFormat/>
    <w:rsid w:val="00380D17"/>
    <w:rPr>
      <w:i/>
      <w:iCs/>
    </w:rPr>
  </w:style>
  <w:style w:type="character" w:styleId="af9">
    <w:name w:val="annotation reference"/>
    <w:basedOn w:val="a1"/>
    <w:uiPriority w:val="99"/>
    <w:semiHidden/>
    <w:unhideWhenUsed/>
    <w:rsid w:val="00A30440"/>
    <w:rPr>
      <w:sz w:val="16"/>
      <w:szCs w:val="16"/>
    </w:rPr>
  </w:style>
  <w:style w:type="paragraph" w:styleId="afa">
    <w:name w:val="annotation text"/>
    <w:basedOn w:val="a0"/>
    <w:link w:val="afb"/>
    <w:uiPriority w:val="99"/>
    <w:semiHidden/>
    <w:unhideWhenUsed/>
    <w:rsid w:val="00A30440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1"/>
    <w:link w:val="afa"/>
    <w:uiPriority w:val="99"/>
    <w:semiHidden/>
    <w:rsid w:val="00A304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30440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304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Balloon Text"/>
    <w:basedOn w:val="a0"/>
    <w:link w:val="aff"/>
    <w:uiPriority w:val="99"/>
    <w:semiHidden/>
    <w:unhideWhenUsed/>
    <w:rsid w:val="00A30440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basedOn w:val="a1"/>
    <w:link w:val="afe"/>
    <w:uiPriority w:val="99"/>
    <w:semiHidden/>
    <w:rsid w:val="00A3044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g-star-inserted">
    <w:name w:val="ng-star-inserted"/>
    <w:basedOn w:val="a1"/>
    <w:rsid w:val="005C0C58"/>
  </w:style>
  <w:style w:type="table" w:styleId="aff0">
    <w:name w:val="Table Grid"/>
    <w:basedOn w:val="a2"/>
    <w:uiPriority w:val="39"/>
    <w:rsid w:val="005C0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7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65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3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4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1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8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8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2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0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8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1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8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54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1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4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4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9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keycloak/keycloak/blob/main/LICENSE.tx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07CE7-6927-4748-90A8-F74603D9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Малышева Елена Александровна</dc:creator>
  <cp:keywords/>
  <dc:description/>
  <cp:lastModifiedBy>Пользователь Windows</cp:lastModifiedBy>
  <cp:revision>2</cp:revision>
  <dcterms:created xsi:type="dcterms:W3CDTF">2026-01-15T06:49:00Z</dcterms:created>
  <dcterms:modified xsi:type="dcterms:W3CDTF">2026-01-15T06:49:00Z</dcterms:modified>
</cp:coreProperties>
</file>