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1CA3" w14:textId="77777777" w:rsidR="00E67439" w:rsidRDefault="00E67439" w:rsidP="009B7CD9"/>
    <w:p w14:paraId="0C6B66B2" w14:textId="77777777" w:rsidR="009B7CD9" w:rsidRDefault="009B7CD9" w:rsidP="009B7CD9"/>
    <w:p w14:paraId="0F4F671A" w14:textId="77777777" w:rsidR="009B7CD9" w:rsidRDefault="009B7CD9" w:rsidP="009B7CD9"/>
    <w:p w14:paraId="7432F8E7" w14:textId="77777777" w:rsidR="009B7CD9" w:rsidRDefault="009B7CD9" w:rsidP="009B7CD9"/>
    <w:p w14:paraId="6283B96A" w14:textId="77777777" w:rsidR="009B7CD9" w:rsidRDefault="009B7CD9" w:rsidP="009B7CD9"/>
    <w:p w14:paraId="726D0F51" w14:textId="77777777" w:rsidR="009B7CD9" w:rsidRDefault="009B7CD9" w:rsidP="009B7CD9"/>
    <w:p w14:paraId="5CF18146" w14:textId="77777777" w:rsidR="005D537F" w:rsidRDefault="005D537F" w:rsidP="00BF1207">
      <w:pPr>
        <w:jc w:val="center"/>
        <w:rPr>
          <w:sz w:val="32"/>
          <w:szCs w:val="32"/>
        </w:rPr>
      </w:pPr>
    </w:p>
    <w:p w14:paraId="37F9352B" w14:textId="77777777" w:rsidR="005D537F" w:rsidRDefault="005D537F" w:rsidP="00BF1207">
      <w:pPr>
        <w:jc w:val="center"/>
        <w:rPr>
          <w:sz w:val="32"/>
          <w:szCs w:val="32"/>
        </w:rPr>
      </w:pPr>
    </w:p>
    <w:p w14:paraId="6E798B2F" w14:textId="77777777" w:rsidR="005D537F" w:rsidRDefault="005D537F" w:rsidP="00BF1207">
      <w:pPr>
        <w:jc w:val="center"/>
        <w:rPr>
          <w:sz w:val="32"/>
          <w:szCs w:val="32"/>
        </w:rPr>
      </w:pPr>
    </w:p>
    <w:p w14:paraId="47DD7EBD" w14:textId="77777777" w:rsidR="005D537F" w:rsidRPr="005D537F" w:rsidRDefault="005D537F" w:rsidP="00BF1207">
      <w:pPr>
        <w:jc w:val="center"/>
        <w:rPr>
          <w:sz w:val="40"/>
          <w:szCs w:val="32"/>
        </w:rPr>
      </w:pPr>
    </w:p>
    <w:p w14:paraId="1753EB75" w14:textId="77777777" w:rsidR="009B7CD9" w:rsidRPr="005D537F" w:rsidRDefault="00BF1207" w:rsidP="00BF1207">
      <w:pPr>
        <w:jc w:val="center"/>
        <w:rPr>
          <w:sz w:val="40"/>
          <w:szCs w:val="32"/>
        </w:rPr>
      </w:pPr>
      <w:r w:rsidRPr="005D537F">
        <w:rPr>
          <w:sz w:val="40"/>
          <w:szCs w:val="32"/>
        </w:rPr>
        <w:t>Описание технической архитектуры</w:t>
      </w:r>
      <w:r w:rsidR="005D537F">
        <w:rPr>
          <w:sz w:val="40"/>
          <w:szCs w:val="32"/>
        </w:rPr>
        <w:t xml:space="preserve"> Системы</w:t>
      </w:r>
    </w:p>
    <w:p w14:paraId="097CB655" w14:textId="77777777" w:rsidR="009B7CD9" w:rsidRPr="005D537F" w:rsidRDefault="009B7CD9" w:rsidP="009B7CD9">
      <w:pPr>
        <w:rPr>
          <w:sz w:val="40"/>
          <w:szCs w:val="32"/>
        </w:rPr>
      </w:pPr>
    </w:p>
    <w:p w14:paraId="106B91A8" w14:textId="77777777" w:rsidR="009B7CD9" w:rsidRPr="005D537F" w:rsidRDefault="009B7CD9" w:rsidP="009B7CD9">
      <w:pPr>
        <w:pStyle w:val="a9"/>
        <w:rPr>
          <w:sz w:val="40"/>
          <w:szCs w:val="32"/>
        </w:rPr>
      </w:pPr>
    </w:p>
    <w:p w14:paraId="09BF850B" w14:textId="77777777" w:rsidR="009B7CD9" w:rsidRPr="005D537F" w:rsidRDefault="009B7CD9" w:rsidP="009B7CD9">
      <w:pPr>
        <w:pStyle w:val="a9"/>
        <w:rPr>
          <w:sz w:val="160"/>
        </w:rPr>
      </w:pPr>
      <w:r w:rsidRPr="005D537F">
        <w:rPr>
          <w:sz w:val="48"/>
          <w:szCs w:val="32"/>
        </w:rPr>
        <w:t>«</w:t>
      </w:r>
      <w:r w:rsidR="005D537F">
        <w:rPr>
          <w:sz w:val="48"/>
          <w:szCs w:val="32"/>
        </w:rPr>
        <w:t>Ростелеком Лицей</w:t>
      </w:r>
      <w:r w:rsidRPr="005D537F">
        <w:rPr>
          <w:sz w:val="48"/>
          <w:szCs w:val="32"/>
        </w:rPr>
        <w:t>»</w:t>
      </w:r>
    </w:p>
    <w:p w14:paraId="135FB484" w14:textId="77777777" w:rsidR="009B7CD9" w:rsidRPr="009B7CD9" w:rsidRDefault="009B7CD9" w:rsidP="009B7CD9"/>
    <w:p w14:paraId="599CE44C" w14:textId="77777777" w:rsidR="009B7CD9" w:rsidRDefault="009B7CD9" w:rsidP="009B7CD9"/>
    <w:p w14:paraId="72EF2839" w14:textId="77777777" w:rsidR="009B7CD9" w:rsidRDefault="009B7CD9" w:rsidP="009B7CD9"/>
    <w:p w14:paraId="5BE71322" w14:textId="77777777" w:rsidR="009B7CD9" w:rsidRDefault="009B7CD9" w:rsidP="009B7CD9"/>
    <w:p w14:paraId="4AD5E614" w14:textId="77777777" w:rsidR="009B7CD9" w:rsidRDefault="009B7CD9" w:rsidP="009B7CD9"/>
    <w:p w14:paraId="0AE8683B" w14:textId="77777777" w:rsidR="009B7CD9" w:rsidRDefault="009B7CD9" w:rsidP="009B7CD9"/>
    <w:p w14:paraId="10F3668B" w14:textId="77777777" w:rsidR="009B7CD9" w:rsidRDefault="009B7CD9" w:rsidP="009B7CD9"/>
    <w:p w14:paraId="64B1A46E" w14:textId="77777777" w:rsidR="009B7CD9" w:rsidRDefault="009B7CD9" w:rsidP="009B7CD9"/>
    <w:p w14:paraId="0DFE0A2C" w14:textId="77777777" w:rsidR="009B7CD9" w:rsidRDefault="009B7CD9" w:rsidP="009B7CD9"/>
    <w:p w14:paraId="65D8F746" w14:textId="77777777" w:rsidR="009B7CD9" w:rsidRDefault="009B7CD9" w:rsidP="009B7CD9"/>
    <w:p w14:paraId="4F932899" w14:textId="77777777" w:rsidR="005D537F" w:rsidRDefault="005D537F" w:rsidP="009B7CD9"/>
    <w:p w14:paraId="5B894C33" w14:textId="77777777" w:rsidR="005D537F" w:rsidRDefault="005D537F" w:rsidP="009B7CD9"/>
    <w:p w14:paraId="3D3D1978" w14:textId="77777777" w:rsidR="005D537F" w:rsidRDefault="005D537F" w:rsidP="009B7CD9"/>
    <w:p w14:paraId="6C06DB5F" w14:textId="77777777" w:rsidR="005D537F" w:rsidRDefault="005D537F" w:rsidP="009B7CD9"/>
    <w:p w14:paraId="5E1AAFFD" w14:textId="77777777" w:rsidR="005D537F" w:rsidRDefault="005D537F" w:rsidP="009B7CD9"/>
    <w:p w14:paraId="40DE6D14" w14:textId="77777777" w:rsidR="009B7CD9" w:rsidRDefault="009B7CD9" w:rsidP="009B7CD9"/>
    <w:p w14:paraId="300B6EE2" w14:textId="77777777" w:rsidR="009B7CD9" w:rsidRDefault="009B7CD9" w:rsidP="009B7CD9"/>
    <w:p w14:paraId="41A9AD0B" w14:textId="7218E8DA" w:rsidR="009B7CD9" w:rsidRPr="005D537F" w:rsidRDefault="009B7CD9" w:rsidP="009B7CD9">
      <w:pPr>
        <w:jc w:val="center"/>
        <w:rPr>
          <w:sz w:val="24"/>
        </w:rPr>
      </w:pPr>
      <w:r w:rsidRPr="005D537F">
        <w:rPr>
          <w:sz w:val="24"/>
        </w:rPr>
        <w:t>Москва, 202</w:t>
      </w:r>
      <w:r w:rsidR="00291591">
        <w:rPr>
          <w:sz w:val="24"/>
          <w:lang w:val="en-US"/>
        </w:rPr>
        <w:t>5</w:t>
      </w:r>
      <w:r w:rsidRPr="005D537F">
        <w:rPr>
          <w:sz w:val="24"/>
        </w:rPr>
        <w:t xml:space="preserve"> г.</w:t>
      </w:r>
    </w:p>
    <w:p w14:paraId="256049C7" w14:textId="77777777" w:rsidR="002C1C35" w:rsidRDefault="009B7CD9" w:rsidP="009B7CD9">
      <w:r>
        <w:br w:type="page"/>
      </w:r>
    </w:p>
    <w:p w14:paraId="79FB1568" w14:textId="77777777" w:rsidR="00C05BB6" w:rsidRDefault="00C05BB6" w:rsidP="00C05BB6">
      <w:pPr>
        <w:pStyle w:val="1"/>
      </w:pPr>
      <w:bookmarkStart w:id="0" w:name="_Toc102205969"/>
      <w:r>
        <w:lastRenderedPageBreak/>
        <w:t>Общие положения</w:t>
      </w:r>
      <w:bookmarkEnd w:id="0"/>
    </w:p>
    <w:p w14:paraId="307126E0" w14:textId="77777777" w:rsidR="00115096" w:rsidRDefault="00115096" w:rsidP="00C05BB6">
      <w:pPr>
        <w:pStyle w:val="2"/>
      </w:pPr>
      <w:bookmarkStart w:id="1" w:name="_Toc102205970"/>
      <w:r>
        <w:t>О документе</w:t>
      </w:r>
      <w:bookmarkEnd w:id="1"/>
    </w:p>
    <w:p w14:paraId="7FED2F05" w14:textId="77777777" w:rsidR="00115096" w:rsidRPr="00115096" w:rsidRDefault="00115096" w:rsidP="00115096">
      <w:r>
        <w:t xml:space="preserve">Настоящий документ </w:t>
      </w:r>
      <w:r w:rsidRPr="00115096">
        <w:t>описывает комплекс технических средств,</w:t>
      </w:r>
      <w:r>
        <w:t xml:space="preserve"> используемый </w:t>
      </w:r>
      <w:r w:rsidR="005D537F">
        <w:t>системой «Ростелеком Лицей» (далее — Сервис)</w:t>
      </w:r>
      <w:r>
        <w:t>.</w:t>
      </w:r>
    </w:p>
    <w:p w14:paraId="4931D63E" w14:textId="77777777" w:rsidR="00C05BB6" w:rsidRDefault="00C05BB6" w:rsidP="00C05BB6">
      <w:pPr>
        <w:pStyle w:val="1"/>
      </w:pPr>
      <w:bookmarkStart w:id="2" w:name="_Toc102205972"/>
      <w:r>
        <w:t>Структура комплекса технических средств</w:t>
      </w:r>
      <w:bookmarkEnd w:id="2"/>
    </w:p>
    <w:p w14:paraId="17F4D314" w14:textId="77777777" w:rsidR="00C05BB6" w:rsidRDefault="00C05BB6" w:rsidP="00C05BB6">
      <w:pPr>
        <w:pStyle w:val="2"/>
      </w:pPr>
      <w:bookmarkStart w:id="3" w:name="_Toc102205973"/>
      <w:r>
        <w:t>Обоснование структуры КТС</w:t>
      </w:r>
      <w:bookmarkEnd w:id="3"/>
    </w:p>
    <w:p w14:paraId="265275D7" w14:textId="77777777" w:rsidR="005D537F" w:rsidRDefault="005D537F" w:rsidP="005D537F">
      <w:r>
        <w:t>Расчет ресурсов, необходимых для разворачивания и функционирования Сервиса, выполнялся исходя их следующих положений:</w:t>
      </w:r>
    </w:p>
    <w:p w14:paraId="447F8F33" w14:textId="77777777" w:rsidR="005D537F" w:rsidRDefault="005D537F" w:rsidP="005D537F">
      <w:pPr>
        <w:pStyle w:val="ad"/>
        <w:numPr>
          <w:ilvl w:val="0"/>
          <w:numId w:val="13"/>
        </w:numPr>
      </w:pPr>
      <w:r>
        <w:t xml:space="preserve">Максимальное количество пользователей не превышает </w:t>
      </w:r>
      <w:r w:rsidRPr="00C17FF0">
        <w:t>5000</w:t>
      </w:r>
      <w:r>
        <w:t xml:space="preserve"> активных пользователей</w:t>
      </w:r>
      <w:r>
        <w:rPr>
          <w:lang w:val="en-US"/>
        </w:rPr>
        <w:t> </w:t>
      </w:r>
      <w:r w:rsidRPr="00F22DA4">
        <w:t>(</w:t>
      </w:r>
      <w:r>
        <w:rPr>
          <w:lang w:val="en-US"/>
        </w:rPr>
        <w:t>DAU</w:t>
      </w:r>
      <w:r w:rsidRPr="00F22DA4">
        <w:t xml:space="preserve">) </w:t>
      </w:r>
      <w:r>
        <w:t>в сутки</w:t>
      </w:r>
      <w:r w:rsidRPr="006065B5">
        <w:t>.</w:t>
      </w:r>
    </w:p>
    <w:p w14:paraId="054B07AC" w14:textId="5BF7D84B" w:rsidR="005D537F" w:rsidRPr="00560D29" w:rsidRDefault="006065B5" w:rsidP="005D537F">
      <w:pPr>
        <w:pStyle w:val="ad"/>
        <w:numPr>
          <w:ilvl w:val="0"/>
          <w:numId w:val="13"/>
        </w:numPr>
      </w:pPr>
      <w:r>
        <w:t xml:space="preserve">Потребление ресурсов конкретными </w:t>
      </w:r>
      <w:proofErr w:type="spellStart"/>
      <w:r>
        <w:t>микросервисами</w:t>
      </w:r>
      <w:proofErr w:type="spellEnd"/>
      <w:r w:rsidR="00560D29">
        <w:t>.</w:t>
      </w:r>
    </w:p>
    <w:p w14:paraId="2A7217C5" w14:textId="77777777" w:rsidR="008E144C" w:rsidRDefault="008E144C" w:rsidP="0000026C">
      <w:pPr>
        <w:pStyle w:val="1"/>
      </w:pPr>
      <w:bookmarkStart w:id="4" w:name="_Toc102205979"/>
      <w:r>
        <w:t>Аппаратура передачи данных</w:t>
      </w:r>
      <w:bookmarkEnd w:id="4"/>
    </w:p>
    <w:p w14:paraId="7606A293" w14:textId="77777777" w:rsidR="00C05BB6" w:rsidRDefault="00C05BB6" w:rsidP="00C05BB6">
      <w:pPr>
        <w:pStyle w:val="2"/>
      </w:pPr>
      <w:bookmarkStart w:id="5" w:name="_Toc102205983"/>
      <w:r>
        <w:t>Требования к каналам связи</w:t>
      </w:r>
      <w:bookmarkEnd w:id="5"/>
    </w:p>
    <w:p w14:paraId="7797E293" w14:textId="77777777" w:rsidR="00FD796F" w:rsidRDefault="00FD796F" w:rsidP="00FD796F">
      <w:r w:rsidRPr="00FD796F">
        <w:t xml:space="preserve">Каналы связи должны обеспечивать пропускную способность, достаточную для решения задач передачи данных трафика </w:t>
      </w:r>
      <w:r>
        <w:t>в рамках клиент-серверного и сервер-серверного взаимодействия</w:t>
      </w:r>
      <w:r w:rsidRPr="00FD796F">
        <w:t>.</w:t>
      </w:r>
    </w:p>
    <w:p w14:paraId="18DC274D" w14:textId="77777777" w:rsidR="00E4689A" w:rsidRDefault="00E4689A" w:rsidP="00E4689A">
      <w:pPr>
        <w:pStyle w:val="2"/>
      </w:pPr>
      <w:bookmarkStart w:id="6" w:name="_Toc102205984"/>
      <w:r>
        <w:t>Основные принципы сетевого взаимодействия</w:t>
      </w:r>
      <w:bookmarkEnd w:id="6"/>
    </w:p>
    <w:p w14:paraId="50DC7F3A" w14:textId="77777777" w:rsidR="00E4689A" w:rsidRDefault="00E4689A" w:rsidP="00E4689A">
      <w:pPr>
        <w:pStyle w:val="ad"/>
        <w:numPr>
          <w:ilvl w:val="0"/>
          <w:numId w:val="10"/>
        </w:numPr>
      </w:pPr>
      <w:r>
        <w:t>Серверы c функционалом серверов приложений должны быть размещены в отдельном внутреннем сетевом сегменте для серверов приложений (APP), отделенном от внешних сетей, других сегментов ЦОД КЦ (сегментирование внутри ЦОД) и КСПД средствами межсетевого экранирования с возможностью открытия специфических (только необходимых) сетевых доступов и механизмами реализации сетевой трансляции адресов как с подменой адресов и портов, так и без таковой.</w:t>
      </w:r>
    </w:p>
    <w:p w14:paraId="3609AE23" w14:textId="77777777" w:rsidR="00E4689A" w:rsidRDefault="00E4689A" w:rsidP="00E4689A">
      <w:pPr>
        <w:pStyle w:val="ad"/>
        <w:numPr>
          <w:ilvl w:val="0"/>
          <w:numId w:val="10"/>
        </w:numPr>
      </w:pPr>
      <w:r>
        <w:t xml:space="preserve">Прямое взаимодействие между внутренними сегментами ЦОД и Интернетом запрещено. Все такие взаимодействия организуются через промежуточные ресурсы в сегменте DMZ </w:t>
      </w:r>
      <w:proofErr w:type="spellStart"/>
      <w:r>
        <w:t>Internet</w:t>
      </w:r>
      <w:proofErr w:type="spellEnd"/>
      <w:r>
        <w:t xml:space="preserve"> (отделен от внешних сетей средствами межсетевого экранирования, с </w:t>
      </w:r>
      <w:proofErr w:type="spellStart"/>
      <w:r>
        <w:t>терминацией</w:t>
      </w:r>
      <w:proofErr w:type="spellEnd"/>
      <w:r>
        <w:t xml:space="preserve"> сессий и потоков на ресурсе DMZ-</w:t>
      </w:r>
      <w:proofErr w:type="spellStart"/>
      <w:r>
        <w:t>Internet</w:t>
      </w:r>
      <w:proofErr w:type="spellEnd"/>
      <w:r>
        <w:t xml:space="preserve">. Сквозное прохождение сессии, либо потока через </w:t>
      </w:r>
      <w:r w:rsidR="00311372">
        <w:t>сегмент DMZ-</w:t>
      </w:r>
      <w:proofErr w:type="spellStart"/>
      <w:r w:rsidR="00311372">
        <w:t>Internet</w:t>
      </w:r>
      <w:proofErr w:type="spellEnd"/>
      <w:r w:rsidR="00311372">
        <w:t xml:space="preserve"> запрещено)</w:t>
      </w:r>
      <w:r>
        <w:t xml:space="preserve">. </w:t>
      </w:r>
    </w:p>
    <w:p w14:paraId="2C6A34EE" w14:textId="77777777" w:rsidR="00E4689A" w:rsidRDefault="00E4689A" w:rsidP="00E4689A">
      <w:pPr>
        <w:pStyle w:val="ad"/>
        <w:numPr>
          <w:ilvl w:val="0"/>
          <w:numId w:val="10"/>
        </w:numPr>
      </w:pPr>
      <w:r>
        <w:t>Организация связи между сегментами ЦОД и другими сегментами/сетями путем создания на серверах дополнительных интерфейсов с выделением им адресов из этих сегментов/сетей, с организацией прямой связи с ними (например, L2 VPN, VLAN) и т.д. – запрещены.</w:t>
      </w:r>
    </w:p>
    <w:p w14:paraId="017D5B7E" w14:textId="77777777" w:rsidR="00E4689A" w:rsidRDefault="00E4689A" w:rsidP="00E4689A">
      <w:pPr>
        <w:pStyle w:val="ad"/>
        <w:numPr>
          <w:ilvl w:val="0"/>
          <w:numId w:val="10"/>
        </w:numPr>
      </w:pPr>
      <w:r>
        <w:t>Сетевые порты для администрирования компонент системы рекомендуется выбрать отличными от портов, используемых для работы пользователей и межсистемного взаимодействия.</w:t>
      </w:r>
    </w:p>
    <w:p w14:paraId="412B99C2" w14:textId="77777777" w:rsidR="00E4689A" w:rsidRPr="007B2BBA" w:rsidRDefault="00E4689A" w:rsidP="00E4689A">
      <w:pPr>
        <w:pStyle w:val="ad"/>
        <w:numPr>
          <w:ilvl w:val="0"/>
          <w:numId w:val="10"/>
        </w:numPr>
      </w:pPr>
      <w:r>
        <w:t xml:space="preserve">Вопросы организации сетевых взаимодействий, не указанных в данной документации, должны быть в дальнейшем проработаны дополнительно и согласованы со всеми заинтересованными подразделениями с соответствующей коррекцией документации (в </w:t>
      </w:r>
      <w:proofErr w:type="spellStart"/>
      <w:r>
        <w:t>т.ч</w:t>
      </w:r>
      <w:proofErr w:type="spellEnd"/>
      <w:r>
        <w:t>. и вопросы организации связи с внешними по отношению КСПД сегментами сети IP/MPLS).</w:t>
      </w:r>
    </w:p>
    <w:p w14:paraId="40B68F07" w14:textId="77777777" w:rsidR="00C05BB6" w:rsidRDefault="00C05BB6" w:rsidP="00C05BB6">
      <w:pPr>
        <w:pStyle w:val="1"/>
      </w:pPr>
      <w:bookmarkStart w:id="7" w:name="_Toc102205985"/>
      <w:r>
        <w:lastRenderedPageBreak/>
        <w:t xml:space="preserve">Обеспечение </w:t>
      </w:r>
      <w:proofErr w:type="spellStart"/>
      <w:r>
        <w:t>отказо</w:t>
      </w:r>
      <w:proofErr w:type="spellEnd"/>
      <w:r>
        <w:t xml:space="preserve">- и </w:t>
      </w:r>
      <w:proofErr w:type="spellStart"/>
      <w:r>
        <w:t>катастрофоустойчивости</w:t>
      </w:r>
      <w:bookmarkEnd w:id="7"/>
      <w:proofErr w:type="spellEnd"/>
    </w:p>
    <w:p w14:paraId="3699E5E5" w14:textId="77777777" w:rsidR="005D537F" w:rsidRPr="00C71DB5" w:rsidRDefault="005D537F" w:rsidP="005D537F">
      <w:bookmarkStart w:id="8" w:name="_Toc102205989"/>
      <w:r w:rsidRPr="00C8526F">
        <w:t xml:space="preserve">Сервис относится к </w:t>
      </w:r>
      <w:r w:rsidRPr="00E71BBA">
        <w:rPr>
          <w:lang w:val="en-US"/>
        </w:rPr>
        <w:t>Business</w:t>
      </w:r>
      <w:r w:rsidRPr="00E71BBA">
        <w:t xml:space="preserve"> </w:t>
      </w:r>
      <w:r w:rsidRPr="00E71BBA">
        <w:rPr>
          <w:lang w:val="en-US"/>
        </w:rPr>
        <w:t>Operational</w:t>
      </w:r>
      <w:r w:rsidRPr="00E71BBA">
        <w:t xml:space="preserve"> </w:t>
      </w:r>
      <w:r w:rsidRPr="00C8526F">
        <w:t>системам.</w:t>
      </w:r>
    </w:p>
    <w:p w14:paraId="491560AD" w14:textId="77777777" w:rsidR="005D537F" w:rsidRPr="00C17FF0" w:rsidRDefault="005D537F" w:rsidP="005D537F">
      <w:r w:rsidRPr="00C17FF0">
        <w:t xml:space="preserve">Согласно Технической политике в области информационных технологий ПАО «Ростелеком» (Редакция 1) </w:t>
      </w:r>
      <w:proofErr w:type="spellStart"/>
      <w:r w:rsidRPr="00E71BBA">
        <w:t>Business</w:t>
      </w:r>
      <w:proofErr w:type="spellEnd"/>
      <w:r w:rsidRPr="00E71BBA">
        <w:t xml:space="preserve"> </w:t>
      </w:r>
      <w:proofErr w:type="spellStart"/>
      <w:r w:rsidRPr="00E71BBA">
        <w:t>Operational</w:t>
      </w:r>
      <w:proofErr w:type="spellEnd"/>
      <w:r w:rsidRPr="00E71BBA">
        <w:t xml:space="preserve"> </w:t>
      </w:r>
      <w:r w:rsidRPr="00C17FF0">
        <w:t>система определена как</w:t>
      </w:r>
    </w:p>
    <w:p w14:paraId="542AA88F" w14:textId="77777777" w:rsidR="005D537F" w:rsidRPr="00C17FF0" w:rsidRDefault="005D537F" w:rsidP="005D537F">
      <w:pPr>
        <w:ind w:left="426"/>
        <w:rPr>
          <w:i/>
        </w:rPr>
      </w:pPr>
      <w:r w:rsidRPr="00E71BBA">
        <w:rPr>
          <w:i/>
        </w:rPr>
        <w:t>ИТ-систем</w:t>
      </w:r>
      <w:r>
        <w:rPr>
          <w:i/>
        </w:rPr>
        <w:t>а</w:t>
      </w:r>
      <w:r w:rsidRPr="00E71BBA">
        <w:rPr>
          <w:i/>
        </w:rPr>
        <w:t xml:space="preserve">, выход из строя </w:t>
      </w:r>
      <w:r>
        <w:rPr>
          <w:i/>
        </w:rPr>
        <w:t>которой</w:t>
      </w:r>
      <w:r w:rsidRPr="00E71BBA">
        <w:rPr>
          <w:i/>
        </w:rPr>
        <w:t xml:space="preserve"> затрагивает только внутренние процессы Общества и не приводит к потерям в среднесрочном периоде, в долгосрочном периоде создаются существенные неудобства пользователям</w:t>
      </w:r>
      <w:r w:rsidRPr="00C17FF0">
        <w:rPr>
          <w:i/>
        </w:rPr>
        <w:t>,</w:t>
      </w:r>
    </w:p>
    <w:p w14:paraId="03915C61" w14:textId="77777777" w:rsidR="005D537F" w:rsidRPr="00C17FF0" w:rsidRDefault="005D537F" w:rsidP="005D537F">
      <w:r w:rsidRPr="00C17FF0">
        <w:t>и должна соответствовать следующим требованиям: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5D537F" w:rsidRPr="00C17FF0" w14:paraId="53EC3CAF" w14:textId="77777777" w:rsidTr="002223B8">
        <w:trPr>
          <w:trHeight w:val="324"/>
        </w:trPr>
        <w:tc>
          <w:tcPr>
            <w:tcW w:w="3823" w:type="dxa"/>
            <w:hideMark/>
          </w:tcPr>
          <w:p w14:paraId="7A91B453" w14:textId="77777777" w:rsidR="005D537F" w:rsidRPr="00C17FF0" w:rsidRDefault="005D537F" w:rsidP="002223B8">
            <w:pPr>
              <w:rPr>
                <w:b/>
                <w:bCs/>
              </w:rPr>
            </w:pPr>
            <w:r w:rsidRPr="00C17FF0">
              <w:rPr>
                <w:b/>
                <w:bCs/>
              </w:rPr>
              <w:t>Требование</w:t>
            </w:r>
          </w:p>
        </w:tc>
        <w:tc>
          <w:tcPr>
            <w:tcW w:w="5528" w:type="dxa"/>
            <w:hideMark/>
          </w:tcPr>
          <w:p w14:paraId="42BFD21B" w14:textId="77777777" w:rsidR="005D537F" w:rsidRPr="00C17FF0" w:rsidRDefault="005D537F" w:rsidP="002223B8">
            <w:pPr>
              <w:rPr>
                <w:b/>
                <w:bCs/>
              </w:rPr>
            </w:pPr>
            <w:r w:rsidRPr="00C17FF0">
              <w:rPr>
                <w:b/>
                <w:bCs/>
              </w:rPr>
              <w:t>Значение</w:t>
            </w:r>
          </w:p>
        </w:tc>
      </w:tr>
      <w:tr w:rsidR="005D537F" w:rsidRPr="00C17FF0" w14:paraId="4AB45D20" w14:textId="77777777" w:rsidTr="002223B8">
        <w:trPr>
          <w:trHeight w:val="300"/>
        </w:trPr>
        <w:tc>
          <w:tcPr>
            <w:tcW w:w="3823" w:type="dxa"/>
            <w:hideMark/>
          </w:tcPr>
          <w:p w14:paraId="28E0EE7A" w14:textId="77777777" w:rsidR="005D537F" w:rsidRPr="00C17FF0" w:rsidRDefault="005D537F" w:rsidP="002223B8">
            <w:r w:rsidRPr="00C17FF0">
              <w:t>Режим работы</w:t>
            </w:r>
          </w:p>
        </w:tc>
        <w:tc>
          <w:tcPr>
            <w:tcW w:w="5528" w:type="dxa"/>
            <w:hideMark/>
          </w:tcPr>
          <w:p w14:paraId="58297D2F" w14:textId="77777777" w:rsidR="005D537F" w:rsidRPr="00C17FF0" w:rsidRDefault="005D537F" w:rsidP="002223B8">
            <w:r w:rsidRPr="00E71BBA">
              <w:t>16x5 (8х5 с учетом часовых поясов)</w:t>
            </w:r>
          </w:p>
        </w:tc>
      </w:tr>
      <w:tr w:rsidR="005D537F" w:rsidRPr="00C17FF0" w14:paraId="75F32A54" w14:textId="77777777" w:rsidTr="002223B8">
        <w:trPr>
          <w:trHeight w:val="300"/>
        </w:trPr>
        <w:tc>
          <w:tcPr>
            <w:tcW w:w="3823" w:type="dxa"/>
            <w:hideMark/>
          </w:tcPr>
          <w:p w14:paraId="0465616E" w14:textId="77777777" w:rsidR="005D537F" w:rsidRPr="00C17FF0" w:rsidRDefault="005D537F" w:rsidP="002223B8">
            <w:bookmarkStart w:id="9" w:name="RANGE!A4"/>
            <w:r w:rsidRPr="00C17FF0">
              <w:t>Доступность</w:t>
            </w:r>
            <w:r w:rsidRPr="00C17FF0">
              <w:rPr>
                <w:rStyle w:val="af0"/>
              </w:rPr>
              <w:footnoteReference w:id="1"/>
            </w:r>
            <w:bookmarkEnd w:id="9"/>
          </w:p>
        </w:tc>
        <w:tc>
          <w:tcPr>
            <w:tcW w:w="5528" w:type="dxa"/>
            <w:hideMark/>
          </w:tcPr>
          <w:p w14:paraId="40577368" w14:textId="77777777" w:rsidR="005D537F" w:rsidRPr="00C17FF0" w:rsidRDefault="005D537F" w:rsidP="002223B8">
            <w:r w:rsidRPr="00E71BBA">
              <w:t>98%</w:t>
            </w:r>
          </w:p>
        </w:tc>
      </w:tr>
      <w:tr w:rsidR="005D537F" w:rsidRPr="00C17FF0" w14:paraId="02C8E333" w14:textId="77777777" w:rsidTr="002223B8">
        <w:trPr>
          <w:trHeight w:val="425"/>
        </w:trPr>
        <w:tc>
          <w:tcPr>
            <w:tcW w:w="3823" w:type="dxa"/>
            <w:hideMark/>
          </w:tcPr>
          <w:p w14:paraId="0CABD8A5" w14:textId="77777777" w:rsidR="005D537F" w:rsidRPr="00C17FF0" w:rsidRDefault="005D537F" w:rsidP="002223B8">
            <w:r w:rsidRPr="00C17FF0">
              <w:t xml:space="preserve">SLA для </w:t>
            </w:r>
            <w:proofErr w:type="spellStart"/>
            <w:r w:rsidRPr="00C17FF0">
              <w:t>предпродуктивной</w:t>
            </w:r>
            <w:proofErr w:type="spellEnd"/>
            <w:r w:rsidRPr="00C17FF0">
              <w:t xml:space="preserve"> среды, %</w:t>
            </w:r>
          </w:p>
        </w:tc>
        <w:tc>
          <w:tcPr>
            <w:tcW w:w="5528" w:type="dxa"/>
            <w:hideMark/>
          </w:tcPr>
          <w:p w14:paraId="37A2FCCC" w14:textId="77777777" w:rsidR="005D537F" w:rsidRPr="00C17FF0" w:rsidRDefault="005D537F" w:rsidP="002223B8">
            <w:r w:rsidRPr="00E71BBA">
              <w:t>не регламентируется</w:t>
            </w:r>
          </w:p>
        </w:tc>
      </w:tr>
      <w:tr w:rsidR="005D537F" w:rsidRPr="00C17FF0" w14:paraId="15863A43" w14:textId="77777777" w:rsidTr="002223B8">
        <w:trPr>
          <w:trHeight w:val="300"/>
        </w:trPr>
        <w:tc>
          <w:tcPr>
            <w:tcW w:w="3823" w:type="dxa"/>
            <w:hideMark/>
          </w:tcPr>
          <w:p w14:paraId="6FC0BAC5" w14:textId="77777777" w:rsidR="005D537F" w:rsidRPr="00C17FF0" w:rsidRDefault="005D537F" w:rsidP="002223B8">
            <w:r w:rsidRPr="00C17FF0">
              <w:t>SLA для тестовых сред, %</w:t>
            </w:r>
          </w:p>
        </w:tc>
        <w:tc>
          <w:tcPr>
            <w:tcW w:w="5528" w:type="dxa"/>
            <w:hideMark/>
          </w:tcPr>
          <w:p w14:paraId="4FCA0DF4" w14:textId="77777777" w:rsidR="005D537F" w:rsidRPr="00C17FF0" w:rsidRDefault="005D537F" w:rsidP="002223B8">
            <w:r w:rsidRPr="00C17FF0">
              <w:t>не регламентируется</w:t>
            </w:r>
          </w:p>
        </w:tc>
      </w:tr>
      <w:tr w:rsidR="005D537F" w:rsidRPr="00C17FF0" w14:paraId="7A8442A4" w14:textId="77777777" w:rsidTr="002223B8">
        <w:trPr>
          <w:trHeight w:val="300"/>
        </w:trPr>
        <w:tc>
          <w:tcPr>
            <w:tcW w:w="3823" w:type="dxa"/>
            <w:hideMark/>
          </w:tcPr>
          <w:p w14:paraId="5975D00A" w14:textId="77777777" w:rsidR="005D537F" w:rsidRPr="00C17FF0" w:rsidRDefault="005D537F" w:rsidP="002223B8">
            <w:bookmarkStart w:id="10" w:name="RANGE!A7"/>
            <w:r w:rsidRPr="00C17FF0">
              <w:t>RTO</w:t>
            </w:r>
            <w:bookmarkEnd w:id="10"/>
            <w:r w:rsidRPr="00C17FF0">
              <w:rPr>
                <w:rStyle w:val="af0"/>
              </w:rPr>
              <w:footnoteReference w:id="2"/>
            </w:r>
          </w:p>
        </w:tc>
        <w:tc>
          <w:tcPr>
            <w:tcW w:w="5528" w:type="dxa"/>
            <w:hideMark/>
          </w:tcPr>
          <w:p w14:paraId="17BAF636" w14:textId="77777777" w:rsidR="005D537F" w:rsidRPr="00C17FF0" w:rsidRDefault="005D537F" w:rsidP="002223B8">
            <w:r w:rsidRPr="00C17FF0">
              <w:t xml:space="preserve">До 1 </w:t>
            </w:r>
            <w:r>
              <w:t>суток</w:t>
            </w:r>
          </w:p>
        </w:tc>
      </w:tr>
      <w:tr w:rsidR="005D537F" w:rsidRPr="00C17FF0" w14:paraId="5E4E7E15" w14:textId="77777777" w:rsidTr="002223B8">
        <w:trPr>
          <w:trHeight w:val="300"/>
        </w:trPr>
        <w:tc>
          <w:tcPr>
            <w:tcW w:w="3823" w:type="dxa"/>
            <w:hideMark/>
          </w:tcPr>
          <w:p w14:paraId="3EFD834A" w14:textId="77777777" w:rsidR="005D537F" w:rsidRPr="00C17FF0" w:rsidRDefault="005D537F" w:rsidP="002223B8">
            <w:bookmarkStart w:id="11" w:name="RANGE!A8"/>
            <w:r w:rsidRPr="00C17FF0">
              <w:t>RPO</w:t>
            </w:r>
            <w:bookmarkEnd w:id="11"/>
            <w:r w:rsidRPr="00C17FF0">
              <w:rPr>
                <w:rStyle w:val="af0"/>
              </w:rPr>
              <w:footnoteReference w:id="3"/>
            </w:r>
          </w:p>
        </w:tc>
        <w:tc>
          <w:tcPr>
            <w:tcW w:w="5528" w:type="dxa"/>
            <w:hideMark/>
          </w:tcPr>
          <w:p w14:paraId="1EA29583" w14:textId="77777777" w:rsidR="005D537F" w:rsidRPr="00C17FF0" w:rsidRDefault="005D537F" w:rsidP="002223B8">
            <w:r>
              <w:t>24 часа</w:t>
            </w:r>
          </w:p>
        </w:tc>
      </w:tr>
      <w:tr w:rsidR="005D537F" w:rsidRPr="00C17FF0" w14:paraId="76DB57A0" w14:textId="77777777" w:rsidTr="002223B8">
        <w:trPr>
          <w:trHeight w:val="300"/>
        </w:trPr>
        <w:tc>
          <w:tcPr>
            <w:tcW w:w="3823" w:type="dxa"/>
            <w:hideMark/>
          </w:tcPr>
          <w:p w14:paraId="0447CE04" w14:textId="77777777" w:rsidR="005D537F" w:rsidRPr="00C17FF0" w:rsidRDefault="005D537F" w:rsidP="002223B8">
            <w:bookmarkStart w:id="12" w:name="RANGE!A9"/>
            <w:r w:rsidRPr="00C17FF0">
              <w:t>RCO</w:t>
            </w:r>
            <w:bookmarkEnd w:id="12"/>
            <w:r w:rsidRPr="00C17FF0">
              <w:rPr>
                <w:rStyle w:val="af0"/>
              </w:rPr>
              <w:footnoteReference w:id="4"/>
            </w:r>
          </w:p>
        </w:tc>
        <w:tc>
          <w:tcPr>
            <w:tcW w:w="5528" w:type="dxa"/>
            <w:hideMark/>
          </w:tcPr>
          <w:p w14:paraId="51B70F86" w14:textId="77777777" w:rsidR="005D537F" w:rsidRPr="00C17FF0" w:rsidRDefault="005D537F" w:rsidP="002223B8">
            <w:r>
              <w:t>не применимо</w:t>
            </w:r>
          </w:p>
        </w:tc>
      </w:tr>
      <w:tr w:rsidR="005D537F" w:rsidRPr="00C17FF0" w14:paraId="75F1702C" w14:textId="77777777" w:rsidTr="002223B8">
        <w:trPr>
          <w:trHeight w:val="771"/>
        </w:trPr>
        <w:tc>
          <w:tcPr>
            <w:tcW w:w="3823" w:type="dxa"/>
            <w:hideMark/>
          </w:tcPr>
          <w:p w14:paraId="57BD8E0F" w14:textId="77777777" w:rsidR="005D537F" w:rsidRPr="00C17FF0" w:rsidRDefault="005D537F" w:rsidP="002223B8">
            <w:r w:rsidRPr="00C17FF0">
              <w:t>Требования к инфраструктуре</w:t>
            </w:r>
          </w:p>
        </w:tc>
        <w:tc>
          <w:tcPr>
            <w:tcW w:w="5528" w:type="dxa"/>
            <w:hideMark/>
          </w:tcPr>
          <w:p w14:paraId="1DFFB5E2" w14:textId="77777777" w:rsidR="005D537F" w:rsidRPr="00C17FF0" w:rsidRDefault="005D537F" w:rsidP="002223B8">
            <w:r w:rsidRPr="00E71BBA">
              <w:t>Размещаются в ЦОД, с резервированием питания и данных ИТ-систем</w:t>
            </w:r>
          </w:p>
        </w:tc>
      </w:tr>
      <w:tr w:rsidR="005D537F" w:rsidRPr="00C17FF0" w14:paraId="43261874" w14:textId="77777777" w:rsidTr="002223B8">
        <w:trPr>
          <w:trHeight w:val="564"/>
        </w:trPr>
        <w:tc>
          <w:tcPr>
            <w:tcW w:w="3823" w:type="dxa"/>
            <w:hideMark/>
          </w:tcPr>
          <w:p w14:paraId="4A69365A" w14:textId="77777777" w:rsidR="005D537F" w:rsidRPr="00C17FF0" w:rsidRDefault="005D537F" w:rsidP="002223B8">
            <w:r w:rsidRPr="00C17FF0">
              <w:t>Рекомендуемые архитектурные решения</w:t>
            </w:r>
          </w:p>
        </w:tc>
        <w:tc>
          <w:tcPr>
            <w:tcW w:w="5528" w:type="dxa"/>
            <w:hideMark/>
          </w:tcPr>
          <w:p w14:paraId="415709F7" w14:textId="77777777" w:rsidR="005D537F" w:rsidRPr="00C17FF0" w:rsidRDefault="005D537F" w:rsidP="002223B8">
            <w:proofErr w:type="spellStart"/>
            <w:r w:rsidRPr="00E71BBA">
              <w:t>High</w:t>
            </w:r>
            <w:proofErr w:type="spellEnd"/>
            <w:r w:rsidRPr="00E71BBA">
              <w:t xml:space="preserve"> </w:t>
            </w:r>
            <w:proofErr w:type="spellStart"/>
            <w:r w:rsidRPr="00E71BBA">
              <w:t>availability</w:t>
            </w:r>
            <w:proofErr w:type="spellEnd"/>
            <w:r w:rsidRPr="00E71BBA">
              <w:t xml:space="preserve">, </w:t>
            </w:r>
            <w:proofErr w:type="spellStart"/>
            <w:r w:rsidRPr="00E71BBA">
              <w:t>Standard</w:t>
            </w:r>
            <w:proofErr w:type="spellEnd"/>
          </w:p>
        </w:tc>
      </w:tr>
      <w:tr w:rsidR="005D537F" w:rsidRPr="00C17FF0" w14:paraId="16CDB315" w14:textId="77777777" w:rsidTr="002223B8">
        <w:trPr>
          <w:trHeight w:val="597"/>
        </w:trPr>
        <w:tc>
          <w:tcPr>
            <w:tcW w:w="3823" w:type="dxa"/>
            <w:hideMark/>
          </w:tcPr>
          <w:p w14:paraId="2784FE2C" w14:textId="77777777" w:rsidR="005D537F" w:rsidRPr="00C17FF0" w:rsidRDefault="005D537F" w:rsidP="002223B8">
            <w:r w:rsidRPr="00C17FF0">
              <w:t>Требования к поддержке</w:t>
            </w:r>
          </w:p>
        </w:tc>
        <w:tc>
          <w:tcPr>
            <w:tcW w:w="5528" w:type="dxa"/>
            <w:hideMark/>
          </w:tcPr>
          <w:p w14:paraId="3417A445" w14:textId="77777777" w:rsidR="005D537F" w:rsidRPr="00C17FF0" w:rsidRDefault="005D537F" w:rsidP="002223B8">
            <w:r w:rsidRPr="00C17FF0">
              <w:t>Обязательно:</w:t>
            </w:r>
          </w:p>
          <w:p w14:paraId="0A05AD15" w14:textId="77777777" w:rsidR="005D537F" w:rsidRPr="00C17FF0" w:rsidRDefault="005D537F" w:rsidP="002223B8">
            <w:pPr>
              <w:pStyle w:val="ad"/>
              <w:numPr>
                <w:ilvl w:val="0"/>
                <w:numId w:val="7"/>
              </w:numPr>
            </w:pPr>
            <w:r w:rsidRPr="00C17FF0">
              <w:t>Дублирование специалисто</w:t>
            </w:r>
            <w:r>
              <w:t>в</w:t>
            </w:r>
          </w:p>
        </w:tc>
      </w:tr>
      <w:tr w:rsidR="005D537F" w:rsidRPr="00C17FF0" w14:paraId="3677E0EA" w14:textId="77777777" w:rsidTr="002223B8">
        <w:trPr>
          <w:trHeight w:val="564"/>
        </w:trPr>
        <w:tc>
          <w:tcPr>
            <w:tcW w:w="3823" w:type="dxa"/>
            <w:hideMark/>
          </w:tcPr>
          <w:p w14:paraId="6C5BE5CC" w14:textId="77777777" w:rsidR="005D537F" w:rsidRPr="00C17FF0" w:rsidRDefault="005D537F" w:rsidP="002223B8">
            <w:r w:rsidRPr="00C17FF0">
              <w:t>Резервирование ИС во втором ЦОД</w:t>
            </w:r>
          </w:p>
        </w:tc>
        <w:tc>
          <w:tcPr>
            <w:tcW w:w="5528" w:type="dxa"/>
            <w:hideMark/>
          </w:tcPr>
          <w:p w14:paraId="1C8BB3A7" w14:textId="77777777" w:rsidR="005D537F" w:rsidRPr="00C17FF0" w:rsidRDefault="005D537F" w:rsidP="002223B8">
            <w:r>
              <w:t>Нет</w:t>
            </w:r>
          </w:p>
        </w:tc>
      </w:tr>
      <w:tr w:rsidR="005D537F" w:rsidRPr="00C17FF0" w14:paraId="594CBF4B" w14:textId="77777777" w:rsidTr="002223B8">
        <w:trPr>
          <w:trHeight w:val="288"/>
        </w:trPr>
        <w:tc>
          <w:tcPr>
            <w:tcW w:w="3823" w:type="dxa"/>
            <w:hideMark/>
          </w:tcPr>
          <w:p w14:paraId="2FFC4348" w14:textId="77777777" w:rsidR="005D537F" w:rsidRPr="00C17FF0" w:rsidRDefault="005D537F" w:rsidP="002223B8">
            <w:proofErr w:type="spellStart"/>
            <w:r w:rsidRPr="00C17FF0">
              <w:t>Георезерв</w:t>
            </w:r>
            <w:proofErr w:type="spellEnd"/>
            <w:r w:rsidRPr="00C17FF0">
              <w:t xml:space="preserve"> ИС в удаленном ЦОД (&gt; 80км)</w:t>
            </w:r>
          </w:p>
        </w:tc>
        <w:tc>
          <w:tcPr>
            <w:tcW w:w="5528" w:type="dxa"/>
            <w:hideMark/>
          </w:tcPr>
          <w:p w14:paraId="7BADE590" w14:textId="77777777" w:rsidR="005D537F" w:rsidRPr="00C17FF0" w:rsidRDefault="005D537F" w:rsidP="002223B8">
            <w:r w:rsidRPr="00C17FF0">
              <w:t>Нет</w:t>
            </w:r>
          </w:p>
        </w:tc>
      </w:tr>
      <w:tr w:rsidR="005D537F" w:rsidRPr="00C17FF0" w14:paraId="790A367F" w14:textId="77777777" w:rsidTr="002223B8">
        <w:trPr>
          <w:trHeight w:val="840"/>
        </w:trPr>
        <w:tc>
          <w:tcPr>
            <w:tcW w:w="3823" w:type="dxa"/>
            <w:hideMark/>
          </w:tcPr>
          <w:p w14:paraId="7053955B" w14:textId="77777777" w:rsidR="005D537F" w:rsidRPr="00C17FF0" w:rsidRDefault="005D537F" w:rsidP="002223B8">
            <w:r w:rsidRPr="00C17FF0">
              <w:lastRenderedPageBreak/>
              <w:t xml:space="preserve">Наличие </w:t>
            </w:r>
            <w:proofErr w:type="spellStart"/>
            <w:r w:rsidRPr="00C17FF0">
              <w:t>предпродуктивной</w:t>
            </w:r>
            <w:proofErr w:type="spellEnd"/>
            <w:r w:rsidRPr="00C17FF0">
              <w:t xml:space="preserve"> среды (для тестирования на копии реальных данных)</w:t>
            </w:r>
          </w:p>
        </w:tc>
        <w:tc>
          <w:tcPr>
            <w:tcW w:w="5528" w:type="dxa"/>
            <w:hideMark/>
          </w:tcPr>
          <w:p w14:paraId="5195C097" w14:textId="77777777" w:rsidR="005D537F" w:rsidRPr="00C17FF0" w:rsidRDefault="005D537F" w:rsidP="002223B8">
            <w:r w:rsidRPr="00C17FF0">
              <w:t>Нет</w:t>
            </w:r>
          </w:p>
        </w:tc>
      </w:tr>
      <w:tr w:rsidR="005D537F" w:rsidRPr="00C17FF0" w14:paraId="3145A577" w14:textId="77777777" w:rsidTr="002223B8">
        <w:trPr>
          <w:trHeight w:val="300"/>
        </w:trPr>
        <w:tc>
          <w:tcPr>
            <w:tcW w:w="3823" w:type="dxa"/>
            <w:hideMark/>
          </w:tcPr>
          <w:p w14:paraId="17D99795" w14:textId="77777777" w:rsidR="005D537F" w:rsidRPr="00C17FF0" w:rsidRDefault="005D537F" w:rsidP="002223B8">
            <w:r w:rsidRPr="00C17FF0">
              <w:t>Наличие тестовой среды</w:t>
            </w:r>
          </w:p>
        </w:tc>
        <w:tc>
          <w:tcPr>
            <w:tcW w:w="5528" w:type="dxa"/>
            <w:hideMark/>
          </w:tcPr>
          <w:p w14:paraId="1198E2E8" w14:textId="77777777" w:rsidR="005D537F" w:rsidRPr="00C17FF0" w:rsidRDefault="005D537F" w:rsidP="002223B8">
            <w:r w:rsidRPr="00C17FF0">
              <w:t>Нет</w:t>
            </w:r>
          </w:p>
        </w:tc>
      </w:tr>
      <w:tr w:rsidR="005D537F" w:rsidRPr="00C17FF0" w14:paraId="44B509B8" w14:textId="77777777" w:rsidTr="002223B8">
        <w:trPr>
          <w:trHeight w:val="564"/>
        </w:trPr>
        <w:tc>
          <w:tcPr>
            <w:tcW w:w="3823" w:type="dxa"/>
            <w:hideMark/>
          </w:tcPr>
          <w:p w14:paraId="57E98F22" w14:textId="77777777" w:rsidR="005D537F" w:rsidRPr="00C17FF0" w:rsidRDefault="005D537F" w:rsidP="002223B8">
            <w:r w:rsidRPr="00C17FF0">
              <w:t xml:space="preserve">Наличие </w:t>
            </w:r>
            <w:proofErr w:type="spellStart"/>
            <w:r w:rsidRPr="00C17FF0">
              <w:t>разработческой</w:t>
            </w:r>
            <w:proofErr w:type="spellEnd"/>
            <w:r w:rsidRPr="00C17FF0">
              <w:t xml:space="preserve"> среды</w:t>
            </w:r>
          </w:p>
        </w:tc>
        <w:tc>
          <w:tcPr>
            <w:tcW w:w="5528" w:type="dxa"/>
            <w:hideMark/>
          </w:tcPr>
          <w:p w14:paraId="36250171" w14:textId="77777777" w:rsidR="005D537F" w:rsidRPr="00C17FF0" w:rsidRDefault="005D537F" w:rsidP="002223B8">
            <w:r w:rsidRPr="00C17FF0">
              <w:t>Нет</w:t>
            </w:r>
          </w:p>
        </w:tc>
      </w:tr>
      <w:tr w:rsidR="005D537F" w:rsidRPr="00C55A08" w14:paraId="46274CE3" w14:textId="77777777" w:rsidTr="002223B8">
        <w:trPr>
          <w:trHeight w:val="300"/>
        </w:trPr>
        <w:tc>
          <w:tcPr>
            <w:tcW w:w="3823" w:type="dxa"/>
            <w:hideMark/>
          </w:tcPr>
          <w:p w14:paraId="70429E20" w14:textId="77777777" w:rsidR="005D537F" w:rsidRPr="00C17FF0" w:rsidRDefault="005D537F" w:rsidP="002223B8">
            <w:r w:rsidRPr="00C17FF0">
              <w:t>Наличие дежурной смены 24х7</w:t>
            </w:r>
          </w:p>
        </w:tc>
        <w:tc>
          <w:tcPr>
            <w:tcW w:w="5528" w:type="dxa"/>
            <w:hideMark/>
          </w:tcPr>
          <w:p w14:paraId="46B91A00" w14:textId="77777777" w:rsidR="005D537F" w:rsidRPr="00C55A08" w:rsidRDefault="005D537F" w:rsidP="002223B8">
            <w:r w:rsidRPr="00C17FF0">
              <w:t>Нет</w:t>
            </w:r>
          </w:p>
        </w:tc>
      </w:tr>
    </w:tbl>
    <w:p w14:paraId="6CBD86F7" w14:textId="77777777" w:rsidR="005D537F" w:rsidRDefault="005D537F" w:rsidP="005D537F">
      <w:pPr>
        <w:pStyle w:val="3"/>
      </w:pPr>
      <w:bookmarkStart w:id="13" w:name="_Toc166749860"/>
      <w:r>
        <w:t>Отказоустойчивость на уровне приложений</w:t>
      </w:r>
      <w:bookmarkEnd w:id="13"/>
    </w:p>
    <w:p w14:paraId="3DEF9E27" w14:textId="77777777" w:rsidR="005D537F" w:rsidRPr="006E4661" w:rsidRDefault="00AA7B0C" w:rsidP="005D537F">
      <w:pPr>
        <w:rPr>
          <w:b/>
        </w:rPr>
      </w:pPr>
      <w:proofErr w:type="spellStart"/>
      <w:r>
        <w:rPr>
          <w:b/>
        </w:rPr>
        <w:t>Микросервисы</w:t>
      </w:r>
      <w:proofErr w:type="spellEnd"/>
    </w:p>
    <w:p w14:paraId="2C9311B7" w14:textId="77777777" w:rsidR="005D537F" w:rsidRDefault="005D537F" w:rsidP="005D537F">
      <w:r>
        <w:t xml:space="preserve">Высокая доступность </w:t>
      </w:r>
      <w:proofErr w:type="spellStart"/>
      <w:r>
        <w:t>микросервисов</w:t>
      </w:r>
      <w:proofErr w:type="spellEnd"/>
      <w:r>
        <w:t xml:space="preserve"> (приложений) достигается за счёт встроенных механик </w:t>
      </w:r>
      <w:r w:rsidR="00AA7B0C">
        <w:rPr>
          <w:lang w:val="en-US"/>
        </w:rPr>
        <w:t>Kubernetes</w:t>
      </w:r>
      <w:r>
        <w:t xml:space="preserve">, который полностью управляет жизненным циклом приложений. Внутренние процессы </w:t>
      </w:r>
      <w:proofErr w:type="spellStart"/>
      <w:r w:rsidR="00AA7B0C">
        <w:rPr>
          <w:lang w:val="en-US"/>
        </w:rPr>
        <w:t>Kubernete</w:t>
      </w:r>
      <w:proofErr w:type="spellEnd"/>
      <w:r w:rsidRPr="00A72B06">
        <w:t xml:space="preserve"> </w:t>
      </w:r>
      <w:r>
        <w:t xml:space="preserve">регулярно опрашивают состояния приложений в подах. Если приложение не работает, </w:t>
      </w:r>
      <w:proofErr w:type="spellStart"/>
      <w:r w:rsidR="00AA7B0C">
        <w:rPr>
          <w:lang w:val="en-US"/>
        </w:rPr>
        <w:t>Kubernete</w:t>
      </w:r>
      <w:proofErr w:type="spellEnd"/>
      <w:r w:rsidRPr="00A72B06">
        <w:t xml:space="preserve"> </w:t>
      </w:r>
      <w:r>
        <w:t>инициализирует его перезапуск.</w:t>
      </w:r>
    </w:p>
    <w:p w14:paraId="211B6144" w14:textId="77777777" w:rsidR="005D537F" w:rsidRPr="00A707B0" w:rsidRDefault="005D537F" w:rsidP="005D537F">
      <w:r>
        <w:t>Приложения, которые на уровне архитектуры поддерживают масштабируемость, могут быть запущены в нескольких экземплярах. В</w:t>
      </w:r>
      <w:r w:rsidRPr="00A707B0">
        <w:t xml:space="preserve"> </w:t>
      </w:r>
      <w:r>
        <w:t xml:space="preserve">этом случае </w:t>
      </w:r>
      <w:proofErr w:type="spellStart"/>
      <w:r w:rsidR="00AA7B0C">
        <w:rPr>
          <w:lang w:val="en-US"/>
        </w:rPr>
        <w:t>Kubernete</w:t>
      </w:r>
      <w:proofErr w:type="spellEnd"/>
      <w:r w:rsidRPr="00A707B0">
        <w:t xml:space="preserve"> </w:t>
      </w:r>
      <w:r>
        <w:t>балансирует входящие запросы между работающими приложениями.</w:t>
      </w:r>
    </w:p>
    <w:p w14:paraId="326F21A1" w14:textId="77777777" w:rsidR="005D537F" w:rsidRPr="006E4661" w:rsidRDefault="00AA7B0C" w:rsidP="005D537F">
      <w:pPr>
        <w:rPr>
          <w:b/>
        </w:rPr>
      </w:pPr>
      <w:r>
        <w:rPr>
          <w:b/>
        </w:rPr>
        <w:t>База данных</w:t>
      </w:r>
    </w:p>
    <w:p w14:paraId="6C69F29B" w14:textId="77777777" w:rsidR="005D537F" w:rsidRPr="00682CD7" w:rsidRDefault="005D537F" w:rsidP="005D537F">
      <w:r>
        <w:t>Отказоустойчивость СУБД обеспечивается резервным сервером с переключением в ручном режиме.</w:t>
      </w:r>
    </w:p>
    <w:p w14:paraId="378D0B56" w14:textId="77777777" w:rsidR="005D537F" w:rsidRPr="00C9173B" w:rsidRDefault="005D537F" w:rsidP="005D537F">
      <w:pPr>
        <w:pStyle w:val="3"/>
      </w:pPr>
      <w:bookmarkStart w:id="14" w:name="_Toc166749861"/>
      <w:r>
        <w:t>Отказоустойчивость на уровне инфраструктуры</w:t>
      </w:r>
      <w:bookmarkEnd w:id="14"/>
    </w:p>
    <w:p w14:paraId="38F8B2CA" w14:textId="77777777" w:rsidR="005D537F" w:rsidRDefault="005D537F" w:rsidP="005D537F">
      <w:r w:rsidRPr="00C9173B">
        <w:t>На виртуальных серверах и в сетевой инфраструктуре взаимодействия отказоустойчивость обеспечивается средствами Ростелеком.</w:t>
      </w:r>
    </w:p>
    <w:p w14:paraId="37EFD357" w14:textId="77777777" w:rsidR="00C05BB6" w:rsidRDefault="00C05BB6" w:rsidP="00C05BB6">
      <w:pPr>
        <w:pStyle w:val="1"/>
      </w:pPr>
      <w:r>
        <w:t>Конфигурация программного обеспечения АС</w:t>
      </w:r>
      <w:bookmarkEnd w:id="8"/>
    </w:p>
    <w:p w14:paraId="49231355" w14:textId="26C98ABE" w:rsidR="00C36B85" w:rsidRPr="00B9051E" w:rsidRDefault="00C36B85" w:rsidP="00C36B85">
      <w:r>
        <w:t xml:space="preserve">Все запросы из Интернета </w:t>
      </w:r>
      <w:r w:rsidR="008A4F44">
        <w:t>должны проходить</w:t>
      </w:r>
      <w:r>
        <w:t xml:space="preserve"> в продуктивную среду Сервиса через </w:t>
      </w:r>
      <w:r>
        <w:rPr>
          <w:lang w:val="en-US"/>
        </w:rPr>
        <w:t>WAF</w:t>
      </w:r>
      <w:r w:rsidRPr="00B9051E">
        <w:t xml:space="preserve"> </w:t>
      </w:r>
      <w:r>
        <w:t>СОИБ ВЕБ.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8A4F44" w14:paraId="14BD6277" w14:textId="77777777" w:rsidTr="008A4F44">
        <w:tc>
          <w:tcPr>
            <w:tcW w:w="3681" w:type="dxa"/>
          </w:tcPr>
          <w:p w14:paraId="61A98A61" w14:textId="77777777" w:rsidR="008A4F44" w:rsidRPr="00202C07" w:rsidRDefault="008A4F44" w:rsidP="002223B8">
            <w:pPr>
              <w:rPr>
                <w:b/>
              </w:rPr>
            </w:pPr>
            <w:r w:rsidRPr="00202C07">
              <w:rPr>
                <w:b/>
              </w:rPr>
              <w:t>Компонент</w:t>
            </w:r>
          </w:p>
        </w:tc>
        <w:tc>
          <w:tcPr>
            <w:tcW w:w="5670" w:type="dxa"/>
          </w:tcPr>
          <w:p w14:paraId="402E97A9" w14:textId="77777777" w:rsidR="008A4F44" w:rsidRPr="00202C07" w:rsidRDefault="008A4F44" w:rsidP="002223B8">
            <w:pPr>
              <w:rPr>
                <w:b/>
              </w:rPr>
            </w:pPr>
            <w:r w:rsidRPr="00202C07">
              <w:rPr>
                <w:b/>
              </w:rPr>
              <w:t>ПО</w:t>
            </w:r>
          </w:p>
        </w:tc>
      </w:tr>
      <w:tr w:rsidR="008A4F44" w14:paraId="5587F3DD" w14:textId="77777777" w:rsidTr="008A4F44">
        <w:tc>
          <w:tcPr>
            <w:tcW w:w="3681" w:type="dxa"/>
          </w:tcPr>
          <w:p w14:paraId="40772747" w14:textId="77777777" w:rsidR="008A4F44" w:rsidRPr="000806EF" w:rsidRDefault="008A4F44" w:rsidP="002223B8">
            <w:r w:rsidRPr="000806EF">
              <w:t xml:space="preserve">Система </w:t>
            </w:r>
            <w:proofErr w:type="spellStart"/>
            <w:r w:rsidRPr="000806EF">
              <w:t>оркестрации</w:t>
            </w:r>
            <w:proofErr w:type="spellEnd"/>
          </w:p>
        </w:tc>
        <w:tc>
          <w:tcPr>
            <w:tcW w:w="5670" w:type="dxa"/>
          </w:tcPr>
          <w:p w14:paraId="362AA38A" w14:textId="77777777" w:rsidR="008A4F44" w:rsidRPr="000806EF" w:rsidRDefault="008A4F44" w:rsidP="002223B8">
            <w:pPr>
              <w:rPr>
                <w:lang w:val="en-US"/>
              </w:rPr>
            </w:pPr>
            <w:proofErr w:type="spellStart"/>
            <w:r w:rsidRPr="000806EF">
              <w:rPr>
                <w:lang w:val="en-US"/>
              </w:rPr>
              <w:t>kubernetes-совместимый</w:t>
            </w:r>
            <w:proofErr w:type="spellEnd"/>
            <w:r w:rsidRPr="000806EF">
              <w:rPr>
                <w:lang w:val="en-US"/>
              </w:rPr>
              <w:t xml:space="preserve"> OKD 4.x</w:t>
            </w:r>
          </w:p>
        </w:tc>
      </w:tr>
      <w:tr w:rsidR="008A4F44" w14:paraId="5F26D9C5" w14:textId="77777777" w:rsidTr="008A4F44">
        <w:tc>
          <w:tcPr>
            <w:tcW w:w="3681" w:type="dxa"/>
          </w:tcPr>
          <w:p w14:paraId="5BA3456B" w14:textId="77777777" w:rsidR="008A4F44" w:rsidRPr="000806EF" w:rsidRDefault="008A4F44" w:rsidP="002223B8">
            <w:r w:rsidRPr="000806EF">
              <w:t>СУБД</w:t>
            </w:r>
          </w:p>
        </w:tc>
        <w:tc>
          <w:tcPr>
            <w:tcW w:w="5670" w:type="dxa"/>
          </w:tcPr>
          <w:p w14:paraId="21AAF570" w14:textId="77777777" w:rsidR="008A4F44" w:rsidRPr="000806EF" w:rsidRDefault="008A4F44" w:rsidP="002223B8">
            <w:r w:rsidRPr="000806EF">
              <w:rPr>
                <w:lang w:val="en-US"/>
              </w:rPr>
              <w:t>Pangolin</w:t>
            </w:r>
          </w:p>
        </w:tc>
      </w:tr>
    </w:tbl>
    <w:p w14:paraId="2647976B" w14:textId="77777777" w:rsidR="00C36B85" w:rsidRDefault="00C36B85" w:rsidP="008A4F44">
      <w:pPr>
        <w:pStyle w:val="2"/>
        <w:ind w:left="709"/>
      </w:pPr>
      <w:bookmarkStart w:id="15" w:name="_Toc166749867"/>
      <w:proofErr w:type="spellStart"/>
      <w:r>
        <w:t>Микросервисы</w:t>
      </w:r>
      <w:bookmarkEnd w:id="15"/>
      <w:proofErr w:type="spellEnd"/>
    </w:p>
    <w:p w14:paraId="2388B159" w14:textId="69C8CF32" w:rsidR="00C36B85" w:rsidRPr="00830FFD" w:rsidRDefault="00C36B85" w:rsidP="00C36B85">
      <w:r>
        <w:t xml:space="preserve">Все </w:t>
      </w:r>
      <w:proofErr w:type="spellStart"/>
      <w:r>
        <w:t>микросервисы</w:t>
      </w:r>
      <w:proofErr w:type="spellEnd"/>
      <w:r>
        <w:t xml:space="preserve"> размещ</w:t>
      </w:r>
      <w:r w:rsidR="008A4F44">
        <w:t>аются</w:t>
      </w:r>
      <w:r>
        <w:t xml:space="preserve"> в подах </w:t>
      </w:r>
      <w:r>
        <w:rPr>
          <w:lang w:val="en-US"/>
        </w:rPr>
        <w:t>Kubernetes</w:t>
      </w:r>
      <w: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00"/>
        <w:gridCol w:w="2600"/>
        <w:gridCol w:w="3740"/>
      </w:tblGrid>
      <w:tr w:rsidR="00C36B85" w:rsidRPr="00830FFD" w14:paraId="03609A67" w14:textId="77777777" w:rsidTr="002223B8">
        <w:trPr>
          <w:trHeight w:val="565"/>
        </w:trPr>
        <w:tc>
          <w:tcPr>
            <w:tcW w:w="2000" w:type="dxa"/>
            <w:hideMark/>
          </w:tcPr>
          <w:p w14:paraId="4E087621" w14:textId="77777777" w:rsidR="00C36B85" w:rsidRPr="00830FFD" w:rsidRDefault="00C36B85" w:rsidP="002223B8">
            <w:pPr>
              <w:jc w:val="center"/>
              <w:rPr>
                <w:b/>
              </w:rPr>
            </w:pPr>
            <w:r w:rsidRPr="00830FFD">
              <w:rPr>
                <w:b/>
              </w:rPr>
              <w:t>Название</w:t>
            </w:r>
          </w:p>
        </w:tc>
        <w:tc>
          <w:tcPr>
            <w:tcW w:w="2600" w:type="dxa"/>
            <w:hideMark/>
          </w:tcPr>
          <w:p w14:paraId="35A89ED0" w14:textId="77777777" w:rsidR="00C36B85" w:rsidRPr="00830FFD" w:rsidRDefault="00C36B85" w:rsidP="002223B8">
            <w:pPr>
              <w:jc w:val="center"/>
              <w:rPr>
                <w:b/>
              </w:rPr>
            </w:pPr>
            <w:r w:rsidRPr="00830FFD">
              <w:rPr>
                <w:b/>
              </w:rPr>
              <w:t>Тип</w:t>
            </w:r>
          </w:p>
        </w:tc>
        <w:tc>
          <w:tcPr>
            <w:tcW w:w="3740" w:type="dxa"/>
            <w:hideMark/>
          </w:tcPr>
          <w:p w14:paraId="20E16EB3" w14:textId="77777777" w:rsidR="00C36B85" w:rsidRPr="00830FFD" w:rsidRDefault="00C36B85" w:rsidP="002223B8">
            <w:pPr>
              <w:jc w:val="center"/>
              <w:rPr>
                <w:b/>
              </w:rPr>
            </w:pPr>
            <w:r w:rsidRPr="00830FFD">
              <w:rPr>
                <w:b/>
              </w:rPr>
              <w:t>Версия / ПО</w:t>
            </w:r>
          </w:p>
        </w:tc>
      </w:tr>
      <w:tr w:rsidR="00C36B85" w:rsidRPr="00830FFD" w14:paraId="7181873E" w14:textId="77777777" w:rsidTr="002223B8">
        <w:trPr>
          <w:trHeight w:val="300"/>
        </w:trPr>
        <w:tc>
          <w:tcPr>
            <w:tcW w:w="2000" w:type="dxa"/>
            <w:hideMark/>
          </w:tcPr>
          <w:p w14:paraId="2C101EF0" w14:textId="77777777" w:rsidR="00C36B85" w:rsidRPr="00830FFD" w:rsidRDefault="00C36B85" w:rsidP="002223B8">
            <w:proofErr w:type="spellStart"/>
            <w:r w:rsidRPr="00830FFD">
              <w:t>nginx-edtech-router</w:t>
            </w:r>
            <w:proofErr w:type="spellEnd"/>
          </w:p>
        </w:tc>
        <w:tc>
          <w:tcPr>
            <w:tcW w:w="2600" w:type="dxa"/>
            <w:hideMark/>
          </w:tcPr>
          <w:p w14:paraId="017F958A" w14:textId="77777777" w:rsidR="00C36B85" w:rsidRPr="00830FFD" w:rsidRDefault="00C36B85" w:rsidP="002223B8">
            <w:r>
              <w:t>HTTP-</w:t>
            </w:r>
            <w:r w:rsidRPr="00830FFD">
              <w:t>сервер</w:t>
            </w:r>
          </w:p>
        </w:tc>
        <w:tc>
          <w:tcPr>
            <w:tcW w:w="3740" w:type="dxa"/>
            <w:hideMark/>
          </w:tcPr>
          <w:p w14:paraId="16987307" w14:textId="77777777" w:rsidR="00C36B85" w:rsidRPr="00830FFD" w:rsidRDefault="00C36B85" w:rsidP="002223B8">
            <w:proofErr w:type="spellStart"/>
            <w:r w:rsidRPr="00830FFD">
              <w:t>Nginx</w:t>
            </w:r>
            <w:proofErr w:type="spellEnd"/>
            <w:r w:rsidRPr="00830FFD">
              <w:t>/1.19.8</w:t>
            </w:r>
          </w:p>
        </w:tc>
      </w:tr>
      <w:tr w:rsidR="00C36B85" w:rsidRPr="00830FFD" w14:paraId="3714C8D9" w14:textId="77777777" w:rsidTr="002223B8">
        <w:trPr>
          <w:trHeight w:val="300"/>
        </w:trPr>
        <w:tc>
          <w:tcPr>
            <w:tcW w:w="2000" w:type="dxa"/>
            <w:hideMark/>
          </w:tcPr>
          <w:p w14:paraId="112E479B" w14:textId="77777777" w:rsidR="00C36B85" w:rsidRPr="00830FFD" w:rsidRDefault="00C36B85" w:rsidP="002223B8">
            <w:proofErr w:type="spellStart"/>
            <w:r w:rsidRPr="00830FFD">
              <w:t>backend-nginx</w:t>
            </w:r>
            <w:proofErr w:type="spellEnd"/>
          </w:p>
        </w:tc>
        <w:tc>
          <w:tcPr>
            <w:tcW w:w="2600" w:type="dxa"/>
            <w:hideMark/>
          </w:tcPr>
          <w:p w14:paraId="377DBABC" w14:textId="77777777" w:rsidR="00C36B85" w:rsidRPr="00830FFD" w:rsidRDefault="00C36B85" w:rsidP="002223B8">
            <w:r>
              <w:t>HTTP-</w:t>
            </w:r>
            <w:r w:rsidRPr="00830FFD">
              <w:t>сервер</w:t>
            </w:r>
          </w:p>
        </w:tc>
        <w:tc>
          <w:tcPr>
            <w:tcW w:w="3740" w:type="dxa"/>
            <w:hideMark/>
          </w:tcPr>
          <w:p w14:paraId="6D718554" w14:textId="77777777" w:rsidR="00C36B85" w:rsidRPr="00830FFD" w:rsidRDefault="00C36B85" w:rsidP="002223B8">
            <w:proofErr w:type="spellStart"/>
            <w:r w:rsidRPr="00830FFD">
              <w:t>Nginx</w:t>
            </w:r>
            <w:proofErr w:type="spellEnd"/>
            <w:r w:rsidRPr="00830FFD">
              <w:t>/1.19.8</w:t>
            </w:r>
          </w:p>
        </w:tc>
      </w:tr>
      <w:tr w:rsidR="00C36B85" w:rsidRPr="00830FFD" w14:paraId="6D123817" w14:textId="77777777" w:rsidTr="002223B8">
        <w:trPr>
          <w:trHeight w:val="300"/>
        </w:trPr>
        <w:tc>
          <w:tcPr>
            <w:tcW w:w="2000" w:type="dxa"/>
            <w:hideMark/>
          </w:tcPr>
          <w:p w14:paraId="336A04E0" w14:textId="77777777" w:rsidR="00C36B85" w:rsidRPr="00830FFD" w:rsidRDefault="00C36B85" w:rsidP="002223B8">
            <w:proofErr w:type="spellStart"/>
            <w:r w:rsidRPr="00830FFD">
              <w:t>frontend</w:t>
            </w:r>
            <w:proofErr w:type="spellEnd"/>
          </w:p>
        </w:tc>
        <w:tc>
          <w:tcPr>
            <w:tcW w:w="2600" w:type="dxa"/>
            <w:hideMark/>
          </w:tcPr>
          <w:p w14:paraId="0549C944" w14:textId="77777777" w:rsidR="00C36B85" w:rsidRPr="00830FFD" w:rsidRDefault="00C36B85" w:rsidP="002223B8">
            <w:r>
              <w:t>HTTP-</w:t>
            </w:r>
            <w:r w:rsidRPr="00830FFD">
              <w:t>сервер</w:t>
            </w:r>
          </w:p>
        </w:tc>
        <w:tc>
          <w:tcPr>
            <w:tcW w:w="3740" w:type="dxa"/>
            <w:hideMark/>
          </w:tcPr>
          <w:p w14:paraId="7ABAD88B" w14:textId="77777777" w:rsidR="00C36B85" w:rsidRPr="00830FFD" w:rsidRDefault="00C36B85" w:rsidP="002223B8">
            <w:proofErr w:type="spellStart"/>
            <w:r w:rsidRPr="00830FFD">
              <w:t>Nginx</w:t>
            </w:r>
            <w:proofErr w:type="spellEnd"/>
            <w:r w:rsidRPr="00830FFD">
              <w:t>/1.19.8</w:t>
            </w:r>
          </w:p>
        </w:tc>
      </w:tr>
      <w:tr w:rsidR="00C36B85" w:rsidRPr="00830FFD" w14:paraId="1082E120" w14:textId="77777777" w:rsidTr="002223B8">
        <w:trPr>
          <w:trHeight w:val="300"/>
        </w:trPr>
        <w:tc>
          <w:tcPr>
            <w:tcW w:w="2000" w:type="dxa"/>
            <w:hideMark/>
          </w:tcPr>
          <w:p w14:paraId="6EFEC443" w14:textId="77777777" w:rsidR="00C36B85" w:rsidRPr="00830FFD" w:rsidRDefault="00C36B85" w:rsidP="002223B8">
            <w:proofErr w:type="spellStart"/>
            <w:r w:rsidRPr="00830FFD">
              <w:t>eljur-frontend</w:t>
            </w:r>
            <w:proofErr w:type="spellEnd"/>
          </w:p>
        </w:tc>
        <w:tc>
          <w:tcPr>
            <w:tcW w:w="2600" w:type="dxa"/>
            <w:hideMark/>
          </w:tcPr>
          <w:p w14:paraId="3EBC2C8F" w14:textId="77777777" w:rsidR="00C36B85" w:rsidRPr="00830FFD" w:rsidRDefault="00C36B85" w:rsidP="002223B8">
            <w:r>
              <w:t>HTTP-</w:t>
            </w:r>
            <w:r w:rsidRPr="00830FFD">
              <w:t>сервер</w:t>
            </w:r>
          </w:p>
        </w:tc>
        <w:tc>
          <w:tcPr>
            <w:tcW w:w="3740" w:type="dxa"/>
            <w:hideMark/>
          </w:tcPr>
          <w:p w14:paraId="54064B48" w14:textId="77777777" w:rsidR="00C36B85" w:rsidRPr="00830FFD" w:rsidRDefault="00C36B85" w:rsidP="002223B8">
            <w:proofErr w:type="spellStart"/>
            <w:r w:rsidRPr="00830FFD">
              <w:t>Nginx</w:t>
            </w:r>
            <w:proofErr w:type="spellEnd"/>
            <w:r w:rsidRPr="00830FFD">
              <w:t>/1.19.8</w:t>
            </w:r>
          </w:p>
        </w:tc>
      </w:tr>
      <w:tr w:rsidR="00C36B85" w:rsidRPr="00830FFD" w14:paraId="662F31A8" w14:textId="77777777" w:rsidTr="002223B8">
        <w:trPr>
          <w:trHeight w:val="300"/>
        </w:trPr>
        <w:tc>
          <w:tcPr>
            <w:tcW w:w="2000" w:type="dxa"/>
            <w:hideMark/>
          </w:tcPr>
          <w:p w14:paraId="0803458C" w14:textId="77777777" w:rsidR="00C36B85" w:rsidRPr="00830FFD" w:rsidRDefault="00C36B85" w:rsidP="002223B8">
            <w:proofErr w:type="spellStart"/>
            <w:r w:rsidRPr="00830FFD">
              <w:lastRenderedPageBreak/>
              <w:t>puma</w:t>
            </w:r>
            <w:proofErr w:type="spellEnd"/>
          </w:p>
        </w:tc>
        <w:tc>
          <w:tcPr>
            <w:tcW w:w="2600" w:type="dxa"/>
            <w:hideMark/>
          </w:tcPr>
          <w:p w14:paraId="008FB2D4" w14:textId="77777777" w:rsidR="00C36B85" w:rsidRPr="00830FFD" w:rsidRDefault="00C36B85" w:rsidP="002223B8">
            <w:r>
              <w:t>HTTP/</w:t>
            </w:r>
            <w:proofErr w:type="spellStart"/>
            <w:r>
              <w:t>app</w:t>
            </w:r>
            <w:proofErr w:type="spellEnd"/>
            <w:r>
              <w:t>-</w:t>
            </w:r>
            <w:r w:rsidRPr="00830FFD">
              <w:t>сервер</w:t>
            </w:r>
          </w:p>
        </w:tc>
        <w:tc>
          <w:tcPr>
            <w:tcW w:w="3740" w:type="dxa"/>
            <w:hideMark/>
          </w:tcPr>
          <w:p w14:paraId="23CC0D83" w14:textId="77777777" w:rsidR="00C36B85" w:rsidRPr="00830FFD" w:rsidRDefault="00C36B85" w:rsidP="002223B8">
            <w:proofErr w:type="spellStart"/>
            <w:r w:rsidRPr="00830FFD">
              <w:t>Puma</w:t>
            </w:r>
            <w:proofErr w:type="spellEnd"/>
            <w:r w:rsidRPr="00830FFD">
              <w:t xml:space="preserve"> 6.4.2</w:t>
            </w:r>
          </w:p>
        </w:tc>
      </w:tr>
      <w:tr w:rsidR="00C36B85" w:rsidRPr="00830FFD" w14:paraId="1BDC89EC" w14:textId="77777777" w:rsidTr="002223B8">
        <w:trPr>
          <w:trHeight w:val="300"/>
        </w:trPr>
        <w:tc>
          <w:tcPr>
            <w:tcW w:w="2000" w:type="dxa"/>
            <w:hideMark/>
          </w:tcPr>
          <w:p w14:paraId="3B90E1EC" w14:textId="77777777" w:rsidR="00C36B85" w:rsidRPr="00830FFD" w:rsidRDefault="00C36B85" w:rsidP="002223B8">
            <w:proofErr w:type="spellStart"/>
            <w:r w:rsidRPr="00830FFD">
              <w:t>puma-cable</w:t>
            </w:r>
            <w:proofErr w:type="spellEnd"/>
          </w:p>
        </w:tc>
        <w:tc>
          <w:tcPr>
            <w:tcW w:w="2600" w:type="dxa"/>
            <w:hideMark/>
          </w:tcPr>
          <w:p w14:paraId="4037DB79" w14:textId="77777777" w:rsidR="00C36B85" w:rsidRPr="00830FFD" w:rsidRDefault="00C36B85" w:rsidP="002223B8">
            <w:r>
              <w:t>HTTP/</w:t>
            </w:r>
            <w:proofErr w:type="spellStart"/>
            <w:r>
              <w:t>app</w:t>
            </w:r>
            <w:proofErr w:type="spellEnd"/>
            <w:r>
              <w:t>-</w:t>
            </w:r>
            <w:r w:rsidRPr="00830FFD">
              <w:t>сервер</w:t>
            </w:r>
          </w:p>
        </w:tc>
        <w:tc>
          <w:tcPr>
            <w:tcW w:w="3740" w:type="dxa"/>
            <w:hideMark/>
          </w:tcPr>
          <w:p w14:paraId="39EB8866" w14:textId="77777777" w:rsidR="00C36B85" w:rsidRPr="00830FFD" w:rsidRDefault="00C36B85" w:rsidP="002223B8">
            <w:proofErr w:type="spellStart"/>
            <w:r w:rsidRPr="00830FFD">
              <w:t>Puma</w:t>
            </w:r>
            <w:proofErr w:type="spellEnd"/>
            <w:r w:rsidRPr="00830FFD">
              <w:t xml:space="preserve"> 6.4.2</w:t>
            </w:r>
          </w:p>
        </w:tc>
      </w:tr>
      <w:tr w:rsidR="00C36B85" w:rsidRPr="00830FFD" w14:paraId="0C38E6DD" w14:textId="77777777" w:rsidTr="002223B8">
        <w:trPr>
          <w:trHeight w:val="300"/>
        </w:trPr>
        <w:tc>
          <w:tcPr>
            <w:tcW w:w="2000" w:type="dxa"/>
            <w:hideMark/>
          </w:tcPr>
          <w:p w14:paraId="76A3E68B" w14:textId="77777777" w:rsidR="00C36B85" w:rsidRPr="00830FFD" w:rsidRDefault="00C36B85" w:rsidP="002223B8">
            <w:proofErr w:type="spellStart"/>
            <w:r w:rsidRPr="00830FFD">
              <w:t>puma-internal-api</w:t>
            </w:r>
            <w:proofErr w:type="spellEnd"/>
          </w:p>
        </w:tc>
        <w:tc>
          <w:tcPr>
            <w:tcW w:w="2600" w:type="dxa"/>
            <w:hideMark/>
          </w:tcPr>
          <w:p w14:paraId="08D04B1A" w14:textId="77777777" w:rsidR="00C36B85" w:rsidRPr="00830FFD" w:rsidRDefault="00C36B85" w:rsidP="002223B8">
            <w:r>
              <w:t>HTTP/</w:t>
            </w:r>
            <w:proofErr w:type="spellStart"/>
            <w:r>
              <w:t>app</w:t>
            </w:r>
            <w:proofErr w:type="spellEnd"/>
            <w:r>
              <w:t>-</w:t>
            </w:r>
            <w:r w:rsidRPr="00830FFD">
              <w:t>сервер</w:t>
            </w:r>
          </w:p>
        </w:tc>
        <w:tc>
          <w:tcPr>
            <w:tcW w:w="3740" w:type="dxa"/>
            <w:hideMark/>
          </w:tcPr>
          <w:p w14:paraId="39DDC770" w14:textId="77777777" w:rsidR="00C36B85" w:rsidRPr="00830FFD" w:rsidRDefault="00C36B85" w:rsidP="002223B8">
            <w:proofErr w:type="spellStart"/>
            <w:r w:rsidRPr="00830FFD">
              <w:t>Puma</w:t>
            </w:r>
            <w:proofErr w:type="spellEnd"/>
            <w:r w:rsidRPr="00830FFD">
              <w:t xml:space="preserve"> 6.4.2</w:t>
            </w:r>
          </w:p>
        </w:tc>
      </w:tr>
      <w:tr w:rsidR="00C36B85" w:rsidRPr="00830FFD" w14:paraId="50D4AB25" w14:textId="77777777" w:rsidTr="002223B8">
        <w:trPr>
          <w:trHeight w:val="300"/>
        </w:trPr>
        <w:tc>
          <w:tcPr>
            <w:tcW w:w="2000" w:type="dxa"/>
            <w:hideMark/>
          </w:tcPr>
          <w:p w14:paraId="7DFD5139" w14:textId="77777777" w:rsidR="00C36B85" w:rsidRPr="00830FFD" w:rsidRDefault="00C36B85" w:rsidP="002223B8">
            <w:proofErr w:type="spellStart"/>
            <w:r w:rsidRPr="00830FFD">
              <w:t>puma-payment-api</w:t>
            </w:r>
            <w:proofErr w:type="spellEnd"/>
          </w:p>
        </w:tc>
        <w:tc>
          <w:tcPr>
            <w:tcW w:w="2600" w:type="dxa"/>
            <w:hideMark/>
          </w:tcPr>
          <w:p w14:paraId="7A21E699" w14:textId="77777777" w:rsidR="00C36B85" w:rsidRPr="00830FFD" w:rsidRDefault="00C36B85" w:rsidP="002223B8">
            <w:r>
              <w:t>HTTP/</w:t>
            </w:r>
            <w:proofErr w:type="spellStart"/>
            <w:r>
              <w:t>app</w:t>
            </w:r>
            <w:proofErr w:type="spellEnd"/>
            <w:r>
              <w:t>-</w:t>
            </w:r>
            <w:r w:rsidRPr="00830FFD">
              <w:t>сервер</w:t>
            </w:r>
          </w:p>
        </w:tc>
        <w:tc>
          <w:tcPr>
            <w:tcW w:w="3740" w:type="dxa"/>
            <w:hideMark/>
          </w:tcPr>
          <w:p w14:paraId="01987532" w14:textId="77777777" w:rsidR="00C36B85" w:rsidRPr="00830FFD" w:rsidRDefault="00C36B85" w:rsidP="002223B8">
            <w:proofErr w:type="spellStart"/>
            <w:r w:rsidRPr="00830FFD">
              <w:t>Puma</w:t>
            </w:r>
            <w:proofErr w:type="spellEnd"/>
            <w:r w:rsidRPr="00830FFD">
              <w:t xml:space="preserve"> 6.4.2</w:t>
            </w:r>
          </w:p>
        </w:tc>
      </w:tr>
      <w:tr w:rsidR="00C36B85" w:rsidRPr="00830FFD" w14:paraId="099B4AF7" w14:textId="77777777" w:rsidTr="002223B8">
        <w:trPr>
          <w:trHeight w:val="300"/>
        </w:trPr>
        <w:tc>
          <w:tcPr>
            <w:tcW w:w="2000" w:type="dxa"/>
            <w:hideMark/>
          </w:tcPr>
          <w:p w14:paraId="09B69C30" w14:textId="77777777" w:rsidR="00C36B85" w:rsidRPr="00830FFD" w:rsidRDefault="00C36B85" w:rsidP="002223B8">
            <w:proofErr w:type="spellStart"/>
            <w:r w:rsidRPr="00830FFD">
              <w:t>clockwork</w:t>
            </w:r>
            <w:proofErr w:type="spellEnd"/>
          </w:p>
        </w:tc>
        <w:tc>
          <w:tcPr>
            <w:tcW w:w="2600" w:type="dxa"/>
            <w:hideMark/>
          </w:tcPr>
          <w:p w14:paraId="3D92920A" w14:textId="77777777" w:rsidR="00C36B85" w:rsidRPr="00830FFD" w:rsidRDefault="00C36B85" w:rsidP="002223B8">
            <w:proofErr w:type="spellStart"/>
            <w:r w:rsidRPr="00830FFD">
              <w:t>Cron</w:t>
            </w:r>
            <w:proofErr w:type="spellEnd"/>
          </w:p>
        </w:tc>
        <w:tc>
          <w:tcPr>
            <w:tcW w:w="3740" w:type="dxa"/>
            <w:hideMark/>
          </w:tcPr>
          <w:p w14:paraId="3AF950BE" w14:textId="77777777" w:rsidR="00C36B85" w:rsidRPr="00830FFD" w:rsidRDefault="00C36B85" w:rsidP="002223B8">
            <w:proofErr w:type="spellStart"/>
            <w:r w:rsidRPr="00830FFD">
              <w:t>Clockwork</w:t>
            </w:r>
            <w:proofErr w:type="spellEnd"/>
            <w:r w:rsidRPr="00830FFD">
              <w:t xml:space="preserve"> 2.0.4</w:t>
            </w:r>
          </w:p>
        </w:tc>
      </w:tr>
      <w:tr w:rsidR="00C36B85" w:rsidRPr="00830FFD" w14:paraId="3CAA916A" w14:textId="77777777" w:rsidTr="002223B8">
        <w:trPr>
          <w:trHeight w:val="300"/>
        </w:trPr>
        <w:tc>
          <w:tcPr>
            <w:tcW w:w="2000" w:type="dxa"/>
            <w:hideMark/>
          </w:tcPr>
          <w:p w14:paraId="25979337" w14:textId="77777777" w:rsidR="00C36B85" w:rsidRPr="00830FFD" w:rsidRDefault="00C36B85" w:rsidP="002223B8">
            <w:proofErr w:type="spellStart"/>
            <w:r w:rsidRPr="00830FFD">
              <w:t>resque-workers</w:t>
            </w:r>
            <w:proofErr w:type="spellEnd"/>
          </w:p>
        </w:tc>
        <w:tc>
          <w:tcPr>
            <w:tcW w:w="2600" w:type="dxa"/>
            <w:hideMark/>
          </w:tcPr>
          <w:p w14:paraId="42F76246" w14:textId="77777777" w:rsidR="00C36B85" w:rsidRPr="00830FFD" w:rsidRDefault="00C36B85" w:rsidP="002223B8">
            <w:proofErr w:type="spellStart"/>
            <w:r w:rsidRPr="00830FFD">
              <w:t>Background</w:t>
            </w:r>
            <w:proofErr w:type="spellEnd"/>
            <w:r w:rsidRPr="00830FFD">
              <w:t xml:space="preserve"> </w:t>
            </w:r>
            <w:proofErr w:type="spellStart"/>
            <w:r w:rsidRPr="00830FFD">
              <w:t>task</w:t>
            </w:r>
            <w:proofErr w:type="spellEnd"/>
            <w:r w:rsidRPr="00830FFD">
              <w:t xml:space="preserve"> </w:t>
            </w:r>
            <w:proofErr w:type="spellStart"/>
            <w:r w:rsidRPr="00830FFD">
              <w:t>processor</w:t>
            </w:r>
            <w:proofErr w:type="spellEnd"/>
          </w:p>
        </w:tc>
        <w:tc>
          <w:tcPr>
            <w:tcW w:w="3740" w:type="dxa"/>
            <w:hideMark/>
          </w:tcPr>
          <w:p w14:paraId="2781E13C" w14:textId="77777777" w:rsidR="00C36B85" w:rsidRPr="00830FFD" w:rsidRDefault="00C36B85" w:rsidP="002223B8">
            <w:proofErr w:type="spellStart"/>
            <w:r w:rsidRPr="00830FFD">
              <w:t>Resque</w:t>
            </w:r>
            <w:proofErr w:type="spellEnd"/>
            <w:r w:rsidRPr="00830FFD">
              <w:t xml:space="preserve"> 2.6.0</w:t>
            </w:r>
          </w:p>
        </w:tc>
      </w:tr>
      <w:tr w:rsidR="00C36B85" w:rsidRPr="00830FFD" w14:paraId="5A46CFB8" w14:textId="77777777" w:rsidTr="002223B8">
        <w:trPr>
          <w:trHeight w:val="300"/>
        </w:trPr>
        <w:tc>
          <w:tcPr>
            <w:tcW w:w="2000" w:type="dxa"/>
            <w:hideMark/>
          </w:tcPr>
          <w:p w14:paraId="76996872" w14:textId="77777777" w:rsidR="00C36B85" w:rsidRPr="00830FFD" w:rsidRDefault="00C36B85" w:rsidP="002223B8">
            <w:proofErr w:type="spellStart"/>
            <w:r w:rsidRPr="00830FFD">
              <w:t>resque-scheduler</w:t>
            </w:r>
            <w:proofErr w:type="spellEnd"/>
          </w:p>
        </w:tc>
        <w:tc>
          <w:tcPr>
            <w:tcW w:w="2600" w:type="dxa"/>
            <w:hideMark/>
          </w:tcPr>
          <w:p w14:paraId="7648CE8E" w14:textId="7075836B" w:rsidR="00C36B85" w:rsidRPr="00830FFD" w:rsidRDefault="001A451B" w:rsidP="002223B8">
            <w:r>
              <w:t>Процесс-</w:t>
            </w:r>
            <w:proofErr w:type="spellStart"/>
            <w:r>
              <w:t>шеду</w:t>
            </w:r>
            <w:r w:rsidR="00C36B85" w:rsidRPr="00830FFD">
              <w:t>лер</w:t>
            </w:r>
            <w:proofErr w:type="spellEnd"/>
          </w:p>
        </w:tc>
        <w:tc>
          <w:tcPr>
            <w:tcW w:w="3740" w:type="dxa"/>
            <w:hideMark/>
          </w:tcPr>
          <w:p w14:paraId="62290236" w14:textId="77777777" w:rsidR="00C36B85" w:rsidRPr="00830FFD" w:rsidRDefault="00C36B85" w:rsidP="002223B8">
            <w:proofErr w:type="spellStart"/>
            <w:r w:rsidRPr="00830FFD">
              <w:t>Resque</w:t>
            </w:r>
            <w:proofErr w:type="spellEnd"/>
            <w:r w:rsidRPr="00830FFD">
              <w:t xml:space="preserve"> 2.6.0</w:t>
            </w:r>
          </w:p>
        </w:tc>
      </w:tr>
      <w:tr w:rsidR="00C36B85" w:rsidRPr="00830FFD" w14:paraId="6C398ACF" w14:textId="77777777" w:rsidTr="002223B8">
        <w:trPr>
          <w:trHeight w:val="565"/>
        </w:trPr>
        <w:tc>
          <w:tcPr>
            <w:tcW w:w="2000" w:type="dxa"/>
            <w:hideMark/>
          </w:tcPr>
          <w:p w14:paraId="699BBA94" w14:textId="77777777" w:rsidR="00C36B85" w:rsidRPr="00830FFD" w:rsidRDefault="00C36B85" w:rsidP="002223B8">
            <w:proofErr w:type="spellStart"/>
            <w:r w:rsidRPr="00830FFD">
              <w:t>edtech-payment-mir</w:t>
            </w:r>
            <w:proofErr w:type="spellEnd"/>
          </w:p>
        </w:tc>
        <w:tc>
          <w:tcPr>
            <w:tcW w:w="2600" w:type="dxa"/>
            <w:hideMark/>
          </w:tcPr>
          <w:p w14:paraId="1651BFD2" w14:textId="77777777" w:rsidR="00C36B85" w:rsidRPr="00830FFD" w:rsidRDefault="00C36B85" w:rsidP="002223B8">
            <w:r>
              <w:t>HTTP/</w:t>
            </w:r>
            <w:proofErr w:type="spellStart"/>
            <w:r>
              <w:t>app</w:t>
            </w:r>
            <w:proofErr w:type="spellEnd"/>
            <w:r>
              <w:t>-</w:t>
            </w:r>
            <w:r w:rsidRPr="00830FFD">
              <w:t>сервер</w:t>
            </w:r>
          </w:p>
        </w:tc>
        <w:tc>
          <w:tcPr>
            <w:tcW w:w="3740" w:type="dxa"/>
            <w:hideMark/>
          </w:tcPr>
          <w:p w14:paraId="59389F06" w14:textId="77777777" w:rsidR="00C36B85" w:rsidRPr="00830FFD" w:rsidRDefault="00C36B85" w:rsidP="002223B8">
            <w:r w:rsidRPr="00830FFD">
              <w:t>Node.js v10.24.1</w:t>
            </w:r>
          </w:p>
        </w:tc>
      </w:tr>
      <w:tr w:rsidR="00C36B85" w:rsidRPr="00830FFD" w14:paraId="08067AE3" w14:textId="77777777" w:rsidTr="002223B8">
        <w:trPr>
          <w:trHeight w:val="300"/>
        </w:trPr>
        <w:tc>
          <w:tcPr>
            <w:tcW w:w="2000" w:type="dxa"/>
            <w:hideMark/>
          </w:tcPr>
          <w:p w14:paraId="768F1B09" w14:textId="77777777" w:rsidR="00C36B85" w:rsidRPr="00830FFD" w:rsidRDefault="00C36B85" w:rsidP="002223B8">
            <w:proofErr w:type="spellStart"/>
            <w:r w:rsidRPr="00830FFD">
              <w:t>payment-redis-mir</w:t>
            </w:r>
            <w:proofErr w:type="spellEnd"/>
          </w:p>
        </w:tc>
        <w:tc>
          <w:tcPr>
            <w:tcW w:w="2600" w:type="dxa"/>
            <w:hideMark/>
          </w:tcPr>
          <w:p w14:paraId="6B0D2193" w14:textId="77777777" w:rsidR="00C36B85" w:rsidRPr="00830FFD" w:rsidRDefault="00C36B85" w:rsidP="002223B8">
            <w:proofErr w:type="spellStart"/>
            <w:r w:rsidRPr="00830FFD">
              <w:t>NoSQL</w:t>
            </w:r>
            <w:proofErr w:type="spellEnd"/>
            <w:r w:rsidRPr="00830FFD">
              <w:t xml:space="preserve"> DB</w:t>
            </w:r>
          </w:p>
        </w:tc>
        <w:tc>
          <w:tcPr>
            <w:tcW w:w="3740" w:type="dxa"/>
            <w:hideMark/>
          </w:tcPr>
          <w:p w14:paraId="71CE0799" w14:textId="77777777" w:rsidR="00C36B85" w:rsidRPr="00830FFD" w:rsidRDefault="00C36B85" w:rsidP="002223B8">
            <w:proofErr w:type="spellStart"/>
            <w:r w:rsidRPr="00830FFD">
              <w:t>Redis</w:t>
            </w:r>
            <w:proofErr w:type="spellEnd"/>
            <w:r w:rsidRPr="00830FFD">
              <w:t xml:space="preserve"> 5.0.3</w:t>
            </w:r>
          </w:p>
        </w:tc>
      </w:tr>
      <w:tr w:rsidR="00C36B85" w:rsidRPr="00830FFD" w14:paraId="5ABF6812" w14:textId="77777777" w:rsidTr="002223B8">
        <w:trPr>
          <w:trHeight w:val="565"/>
        </w:trPr>
        <w:tc>
          <w:tcPr>
            <w:tcW w:w="2000" w:type="dxa"/>
            <w:hideMark/>
          </w:tcPr>
          <w:p w14:paraId="7BA50524" w14:textId="77777777" w:rsidR="00C36B85" w:rsidRPr="00830FFD" w:rsidRDefault="00C36B85" w:rsidP="002223B8">
            <w:proofErr w:type="spellStart"/>
            <w:r w:rsidRPr="00830FFD">
              <w:t>edtech</w:t>
            </w:r>
            <w:proofErr w:type="spellEnd"/>
            <w:r w:rsidRPr="00830FFD">
              <w:t>-</w:t>
            </w:r>
            <w:proofErr w:type="spellStart"/>
            <w:r w:rsidRPr="00830FFD">
              <w:t>payment</w:t>
            </w:r>
            <w:proofErr w:type="spellEnd"/>
            <w:r w:rsidRPr="00830FFD">
              <w:t>-service</w:t>
            </w:r>
          </w:p>
        </w:tc>
        <w:tc>
          <w:tcPr>
            <w:tcW w:w="2600" w:type="dxa"/>
            <w:hideMark/>
          </w:tcPr>
          <w:p w14:paraId="04C33C81" w14:textId="77777777" w:rsidR="00C36B85" w:rsidRPr="00830FFD" w:rsidRDefault="00C36B85" w:rsidP="002223B8">
            <w:r>
              <w:t>HTTP/</w:t>
            </w:r>
            <w:proofErr w:type="spellStart"/>
            <w:r>
              <w:t>app</w:t>
            </w:r>
            <w:proofErr w:type="spellEnd"/>
            <w:r>
              <w:t>-</w:t>
            </w:r>
            <w:r w:rsidRPr="00830FFD">
              <w:t>сервер</w:t>
            </w:r>
          </w:p>
        </w:tc>
        <w:tc>
          <w:tcPr>
            <w:tcW w:w="3740" w:type="dxa"/>
            <w:hideMark/>
          </w:tcPr>
          <w:p w14:paraId="50F4CF3E" w14:textId="77777777" w:rsidR="00C36B85" w:rsidRPr="00830FFD" w:rsidRDefault="00C36B85" w:rsidP="002223B8">
            <w:r w:rsidRPr="00830FFD">
              <w:t>Node.js v10.24.1</w:t>
            </w:r>
          </w:p>
        </w:tc>
      </w:tr>
      <w:tr w:rsidR="00C36B85" w:rsidRPr="00830FFD" w14:paraId="4AECA7E9" w14:textId="77777777" w:rsidTr="002223B8">
        <w:trPr>
          <w:trHeight w:val="300"/>
        </w:trPr>
        <w:tc>
          <w:tcPr>
            <w:tcW w:w="2000" w:type="dxa"/>
            <w:hideMark/>
          </w:tcPr>
          <w:p w14:paraId="7C085F9D" w14:textId="77777777" w:rsidR="00C36B85" w:rsidRPr="00830FFD" w:rsidRDefault="00C36B85" w:rsidP="002223B8">
            <w:proofErr w:type="spellStart"/>
            <w:r w:rsidRPr="00830FFD">
              <w:t>payment-redis</w:t>
            </w:r>
            <w:proofErr w:type="spellEnd"/>
          </w:p>
        </w:tc>
        <w:tc>
          <w:tcPr>
            <w:tcW w:w="2600" w:type="dxa"/>
            <w:hideMark/>
          </w:tcPr>
          <w:p w14:paraId="68490B82" w14:textId="77777777" w:rsidR="00C36B85" w:rsidRPr="00830FFD" w:rsidRDefault="00C36B85" w:rsidP="002223B8">
            <w:proofErr w:type="spellStart"/>
            <w:r w:rsidRPr="00830FFD">
              <w:t>NoSQL</w:t>
            </w:r>
            <w:proofErr w:type="spellEnd"/>
            <w:r w:rsidRPr="00830FFD">
              <w:t xml:space="preserve"> DB</w:t>
            </w:r>
          </w:p>
        </w:tc>
        <w:tc>
          <w:tcPr>
            <w:tcW w:w="3740" w:type="dxa"/>
            <w:hideMark/>
          </w:tcPr>
          <w:p w14:paraId="554B75A2" w14:textId="77777777" w:rsidR="00C36B85" w:rsidRPr="00830FFD" w:rsidRDefault="00C36B85" w:rsidP="002223B8">
            <w:proofErr w:type="spellStart"/>
            <w:r w:rsidRPr="00830FFD">
              <w:t>Redis</w:t>
            </w:r>
            <w:proofErr w:type="spellEnd"/>
            <w:r w:rsidRPr="00830FFD">
              <w:t xml:space="preserve"> 5.0.3</w:t>
            </w:r>
          </w:p>
        </w:tc>
      </w:tr>
      <w:tr w:rsidR="00C36B85" w:rsidRPr="00830FFD" w14:paraId="4D585AD4" w14:textId="77777777" w:rsidTr="002223B8">
        <w:trPr>
          <w:trHeight w:val="300"/>
        </w:trPr>
        <w:tc>
          <w:tcPr>
            <w:tcW w:w="2000" w:type="dxa"/>
            <w:hideMark/>
          </w:tcPr>
          <w:p w14:paraId="73F26A3C" w14:textId="77777777" w:rsidR="00C36B85" w:rsidRPr="00830FFD" w:rsidRDefault="00C36B85" w:rsidP="002223B8">
            <w:proofErr w:type="spellStart"/>
            <w:r w:rsidRPr="00830FFD">
              <w:t>backend-redis</w:t>
            </w:r>
            <w:proofErr w:type="spellEnd"/>
          </w:p>
        </w:tc>
        <w:tc>
          <w:tcPr>
            <w:tcW w:w="2600" w:type="dxa"/>
            <w:hideMark/>
          </w:tcPr>
          <w:p w14:paraId="35E282C6" w14:textId="77777777" w:rsidR="00C36B85" w:rsidRPr="00830FFD" w:rsidRDefault="00C36B85" w:rsidP="002223B8">
            <w:proofErr w:type="spellStart"/>
            <w:r w:rsidRPr="00830FFD">
              <w:t>NoSQL</w:t>
            </w:r>
            <w:proofErr w:type="spellEnd"/>
            <w:r w:rsidRPr="00830FFD">
              <w:t xml:space="preserve"> DB</w:t>
            </w:r>
          </w:p>
        </w:tc>
        <w:tc>
          <w:tcPr>
            <w:tcW w:w="3740" w:type="dxa"/>
            <w:hideMark/>
          </w:tcPr>
          <w:p w14:paraId="4DBFACE3" w14:textId="77777777" w:rsidR="00C36B85" w:rsidRPr="00830FFD" w:rsidRDefault="00C36B85" w:rsidP="002223B8">
            <w:proofErr w:type="spellStart"/>
            <w:r w:rsidRPr="00830FFD">
              <w:t>Redis</w:t>
            </w:r>
            <w:proofErr w:type="spellEnd"/>
            <w:r w:rsidRPr="00830FFD">
              <w:t xml:space="preserve"> 7.0.15</w:t>
            </w:r>
          </w:p>
        </w:tc>
      </w:tr>
      <w:tr w:rsidR="00C36B85" w:rsidRPr="00830FFD" w14:paraId="40F14DF6" w14:textId="77777777" w:rsidTr="002223B8">
        <w:trPr>
          <w:trHeight w:val="300"/>
        </w:trPr>
        <w:tc>
          <w:tcPr>
            <w:tcW w:w="2000" w:type="dxa"/>
            <w:hideMark/>
          </w:tcPr>
          <w:p w14:paraId="51A1531A" w14:textId="77777777" w:rsidR="00C36B85" w:rsidRPr="00830FFD" w:rsidRDefault="00C36B85" w:rsidP="002223B8">
            <w:proofErr w:type="spellStart"/>
            <w:r w:rsidRPr="00830FFD">
              <w:t>Sidekiq</w:t>
            </w:r>
            <w:proofErr w:type="spellEnd"/>
          </w:p>
        </w:tc>
        <w:tc>
          <w:tcPr>
            <w:tcW w:w="2600" w:type="dxa"/>
            <w:hideMark/>
          </w:tcPr>
          <w:p w14:paraId="34FDEF5A" w14:textId="77777777" w:rsidR="00C36B85" w:rsidRPr="00830FFD" w:rsidRDefault="00C36B85" w:rsidP="002223B8">
            <w:proofErr w:type="spellStart"/>
            <w:r w:rsidRPr="00830FFD">
              <w:t>Background</w:t>
            </w:r>
            <w:proofErr w:type="spellEnd"/>
            <w:r w:rsidRPr="00830FFD">
              <w:t xml:space="preserve"> </w:t>
            </w:r>
            <w:proofErr w:type="spellStart"/>
            <w:r w:rsidRPr="00830FFD">
              <w:t>task</w:t>
            </w:r>
            <w:proofErr w:type="spellEnd"/>
            <w:r w:rsidRPr="00830FFD">
              <w:t xml:space="preserve"> </w:t>
            </w:r>
            <w:proofErr w:type="spellStart"/>
            <w:r w:rsidRPr="00830FFD">
              <w:t>processor</w:t>
            </w:r>
            <w:proofErr w:type="spellEnd"/>
          </w:p>
        </w:tc>
        <w:tc>
          <w:tcPr>
            <w:tcW w:w="3740" w:type="dxa"/>
            <w:hideMark/>
          </w:tcPr>
          <w:p w14:paraId="0CD4208C" w14:textId="77777777" w:rsidR="00C36B85" w:rsidRPr="00830FFD" w:rsidRDefault="00C36B85" w:rsidP="002223B8">
            <w:proofErr w:type="spellStart"/>
            <w:r w:rsidRPr="00830FFD">
              <w:t>Sidekiq</w:t>
            </w:r>
            <w:proofErr w:type="spellEnd"/>
            <w:r w:rsidRPr="00830FFD">
              <w:t xml:space="preserve"> 7.01.4</w:t>
            </w:r>
          </w:p>
        </w:tc>
      </w:tr>
      <w:tr w:rsidR="00C36B85" w:rsidRPr="00830FFD" w14:paraId="2075A824" w14:textId="77777777" w:rsidTr="002223B8">
        <w:trPr>
          <w:trHeight w:val="300"/>
        </w:trPr>
        <w:tc>
          <w:tcPr>
            <w:tcW w:w="2000" w:type="dxa"/>
            <w:hideMark/>
          </w:tcPr>
          <w:p w14:paraId="0448AB91" w14:textId="77777777" w:rsidR="00C36B85" w:rsidRPr="00830FFD" w:rsidRDefault="00C36B85" w:rsidP="002223B8">
            <w:proofErr w:type="spellStart"/>
            <w:r w:rsidRPr="00830FFD">
              <w:t>Reindexer</w:t>
            </w:r>
            <w:proofErr w:type="spellEnd"/>
          </w:p>
        </w:tc>
        <w:tc>
          <w:tcPr>
            <w:tcW w:w="2600" w:type="dxa"/>
            <w:hideMark/>
          </w:tcPr>
          <w:p w14:paraId="72EA7AF1" w14:textId="77777777" w:rsidR="00C36B85" w:rsidRPr="00830FFD" w:rsidRDefault="00C36B85" w:rsidP="002223B8">
            <w:proofErr w:type="spellStart"/>
            <w:r w:rsidRPr="00830FFD">
              <w:t>NoSQL</w:t>
            </w:r>
            <w:proofErr w:type="spellEnd"/>
            <w:r w:rsidRPr="00830FFD">
              <w:t xml:space="preserve"> DB</w:t>
            </w:r>
          </w:p>
        </w:tc>
        <w:tc>
          <w:tcPr>
            <w:tcW w:w="3740" w:type="dxa"/>
            <w:hideMark/>
          </w:tcPr>
          <w:p w14:paraId="287B6245" w14:textId="77777777" w:rsidR="00C36B85" w:rsidRPr="00830FFD" w:rsidRDefault="00C36B85" w:rsidP="002223B8">
            <w:proofErr w:type="spellStart"/>
            <w:r w:rsidRPr="00830FFD">
              <w:t>Reindexer</w:t>
            </w:r>
            <w:proofErr w:type="spellEnd"/>
            <w:r w:rsidRPr="00830FFD">
              <w:t xml:space="preserve"> 4.4.0</w:t>
            </w:r>
          </w:p>
        </w:tc>
      </w:tr>
      <w:tr w:rsidR="00C36B85" w:rsidRPr="00830FFD" w14:paraId="129BF2E5" w14:textId="77777777" w:rsidTr="002223B8">
        <w:trPr>
          <w:trHeight w:val="300"/>
        </w:trPr>
        <w:tc>
          <w:tcPr>
            <w:tcW w:w="2000" w:type="dxa"/>
            <w:hideMark/>
          </w:tcPr>
          <w:p w14:paraId="5CC033F5" w14:textId="77777777" w:rsidR="00C36B85" w:rsidRPr="00830FFD" w:rsidRDefault="00C36B85" w:rsidP="002223B8">
            <w:proofErr w:type="spellStart"/>
            <w:r w:rsidRPr="00830FFD">
              <w:t>Minio</w:t>
            </w:r>
            <w:proofErr w:type="spellEnd"/>
          </w:p>
        </w:tc>
        <w:tc>
          <w:tcPr>
            <w:tcW w:w="2600" w:type="dxa"/>
            <w:hideMark/>
          </w:tcPr>
          <w:p w14:paraId="549637C3" w14:textId="77777777" w:rsidR="00C36B85" w:rsidRPr="00830FFD" w:rsidRDefault="00C36B85" w:rsidP="002223B8">
            <w:r w:rsidRPr="00830FFD">
              <w:t xml:space="preserve">S3 </w:t>
            </w:r>
            <w:proofErr w:type="spellStart"/>
            <w:r w:rsidRPr="00830FFD">
              <w:t>compatible</w:t>
            </w:r>
            <w:proofErr w:type="spellEnd"/>
            <w:r w:rsidRPr="00830FFD">
              <w:t xml:space="preserve"> </w:t>
            </w:r>
            <w:proofErr w:type="spellStart"/>
            <w:r w:rsidRPr="00830FFD">
              <w:t>object</w:t>
            </w:r>
            <w:proofErr w:type="spellEnd"/>
            <w:r w:rsidRPr="00830FFD">
              <w:t xml:space="preserve"> </w:t>
            </w:r>
            <w:proofErr w:type="spellStart"/>
            <w:r w:rsidRPr="00830FFD">
              <w:t>storage</w:t>
            </w:r>
            <w:proofErr w:type="spellEnd"/>
          </w:p>
        </w:tc>
        <w:tc>
          <w:tcPr>
            <w:tcW w:w="3740" w:type="dxa"/>
            <w:hideMark/>
          </w:tcPr>
          <w:p w14:paraId="21E6140D" w14:textId="77777777" w:rsidR="00C36B85" w:rsidRPr="00830FFD" w:rsidRDefault="00C36B85" w:rsidP="002223B8">
            <w:proofErr w:type="spellStart"/>
            <w:r w:rsidRPr="00830FFD">
              <w:t>Minio</w:t>
            </w:r>
            <w:proofErr w:type="spellEnd"/>
            <w:r w:rsidRPr="00830FFD">
              <w:t xml:space="preserve"> RELEASE.2024-02-12T21-02-27Z</w:t>
            </w:r>
          </w:p>
        </w:tc>
      </w:tr>
    </w:tbl>
    <w:p w14:paraId="64F7C08C" w14:textId="77777777" w:rsidR="00C36B85" w:rsidRDefault="00C36B85" w:rsidP="00C36B85">
      <w:pPr>
        <w:pStyle w:val="2"/>
        <w:ind w:left="823"/>
      </w:pPr>
      <w:bookmarkStart w:id="16" w:name="_Toc166749869"/>
      <w:r>
        <w:t>Балансировка нагрузки</w:t>
      </w:r>
      <w:bookmarkEnd w:id="16"/>
    </w:p>
    <w:p w14:paraId="6F0C3C35" w14:textId="77777777" w:rsidR="00C36B85" w:rsidRDefault="00C36B85" w:rsidP="00C36B85">
      <w:r>
        <w:t xml:space="preserve">Основные требования к </w:t>
      </w:r>
      <w:proofErr w:type="spellStart"/>
      <w:r>
        <w:t>балансировщику</w:t>
      </w:r>
      <w:proofErr w:type="spellEnd"/>
      <w:r>
        <w:t xml:space="preserve"> нагрузки:</w:t>
      </w:r>
    </w:p>
    <w:p w14:paraId="436EBECE" w14:textId="77777777" w:rsidR="00C36B85" w:rsidRDefault="00C36B85" w:rsidP="00C36B85">
      <w:pPr>
        <w:pStyle w:val="ad"/>
        <w:numPr>
          <w:ilvl w:val="0"/>
          <w:numId w:val="5"/>
        </w:numPr>
      </w:pPr>
      <w:r>
        <w:t>Поддержка протокола HTTP(</w:t>
      </w:r>
      <w:r>
        <w:rPr>
          <w:lang w:val="en-US"/>
        </w:rPr>
        <w:t>S)</w:t>
      </w:r>
      <w:r>
        <w:t>.</w:t>
      </w:r>
    </w:p>
    <w:p w14:paraId="0A9AC0ED" w14:textId="77777777" w:rsidR="00C36B85" w:rsidRDefault="00C36B85" w:rsidP="00C36B85">
      <w:pPr>
        <w:pStyle w:val="ad"/>
        <w:numPr>
          <w:ilvl w:val="0"/>
          <w:numId w:val="5"/>
        </w:numPr>
      </w:pPr>
      <w:r>
        <w:t xml:space="preserve">Как минимум поддержка алгоритма распределения </w:t>
      </w:r>
      <w:proofErr w:type="spellStart"/>
      <w:r>
        <w:t>Round</w:t>
      </w:r>
      <w:proofErr w:type="spellEnd"/>
      <w:r>
        <w:t xml:space="preserve"> </w:t>
      </w:r>
      <w:proofErr w:type="spellStart"/>
      <w:r>
        <w:t>Robin</w:t>
      </w:r>
      <w:proofErr w:type="spellEnd"/>
      <w:r>
        <w:t>.</w:t>
      </w:r>
    </w:p>
    <w:p w14:paraId="25E6D497" w14:textId="2D75E893" w:rsidR="008A4F44" w:rsidRDefault="00C36B85" w:rsidP="008A4F44">
      <w:pPr>
        <w:pStyle w:val="ad"/>
        <w:numPr>
          <w:ilvl w:val="0"/>
          <w:numId w:val="5"/>
        </w:numPr>
      </w:pPr>
      <w:r>
        <w:t xml:space="preserve">Доступность, соответствующая </w:t>
      </w:r>
      <w:r w:rsidRPr="00E71BBA">
        <w:rPr>
          <w:lang w:val="en-US"/>
        </w:rPr>
        <w:t>Business</w:t>
      </w:r>
      <w:r w:rsidRPr="00E71BBA">
        <w:t xml:space="preserve"> </w:t>
      </w:r>
      <w:r w:rsidRPr="00E71BBA">
        <w:rPr>
          <w:lang w:val="en-US"/>
        </w:rPr>
        <w:t>Operational</w:t>
      </w:r>
      <w:r w:rsidRPr="00E71BBA">
        <w:t xml:space="preserve"> </w:t>
      </w:r>
      <w:r>
        <w:t>системам</w:t>
      </w:r>
      <w:r w:rsidR="00572C62">
        <w:t>.</w:t>
      </w:r>
    </w:p>
    <w:p w14:paraId="786D646C" w14:textId="4494A1A7" w:rsidR="00C36B85" w:rsidRDefault="008A4F44" w:rsidP="008A4F44">
      <w:r>
        <w:t xml:space="preserve">Список </w:t>
      </w:r>
      <w:proofErr w:type="spellStart"/>
      <w:r>
        <w:t>балансировщиков</w:t>
      </w:r>
      <w:proofErr w:type="spellEnd"/>
      <w: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6236"/>
      </w:tblGrid>
      <w:tr w:rsidR="008A4F44" w14:paraId="39BE75DE" w14:textId="77777777" w:rsidTr="008A4F44">
        <w:tc>
          <w:tcPr>
            <w:tcW w:w="3115" w:type="dxa"/>
          </w:tcPr>
          <w:p w14:paraId="17B28324" w14:textId="77777777" w:rsidR="008A4F44" w:rsidRPr="006B70CD" w:rsidRDefault="008A4F44" w:rsidP="002223B8">
            <w:pPr>
              <w:rPr>
                <w:b/>
              </w:rPr>
            </w:pPr>
            <w:r w:rsidRPr="006B70CD">
              <w:rPr>
                <w:b/>
              </w:rPr>
              <w:t>Среда</w:t>
            </w:r>
          </w:p>
        </w:tc>
        <w:tc>
          <w:tcPr>
            <w:tcW w:w="6236" w:type="dxa"/>
          </w:tcPr>
          <w:p w14:paraId="365DB1F4" w14:textId="77777777" w:rsidR="008A4F44" w:rsidRPr="006B70CD" w:rsidRDefault="008A4F44" w:rsidP="002223B8">
            <w:pPr>
              <w:rPr>
                <w:b/>
              </w:rPr>
            </w:pPr>
            <w:r w:rsidRPr="006B70CD">
              <w:rPr>
                <w:b/>
              </w:rPr>
              <w:t>ПО</w:t>
            </w:r>
          </w:p>
        </w:tc>
      </w:tr>
      <w:tr w:rsidR="008A4F44" w14:paraId="3EBB868E" w14:textId="77777777" w:rsidTr="008A4F44">
        <w:tc>
          <w:tcPr>
            <w:tcW w:w="3115" w:type="dxa"/>
          </w:tcPr>
          <w:p w14:paraId="5ABC9FDC" w14:textId="77777777" w:rsidR="008A4F44" w:rsidRDefault="008A4F44" w:rsidP="002223B8">
            <w:r>
              <w:t>Продуктивная</w:t>
            </w:r>
          </w:p>
        </w:tc>
        <w:tc>
          <w:tcPr>
            <w:tcW w:w="6236" w:type="dxa"/>
          </w:tcPr>
          <w:p w14:paraId="114DAF70" w14:textId="77777777" w:rsidR="008A4F44" w:rsidRPr="00381FCE" w:rsidRDefault="008A4F44" w:rsidP="002223B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HaProxy</w:t>
            </w:r>
            <w:proofErr w:type="spellEnd"/>
            <w:r>
              <w:rPr>
                <w:lang w:val="en-US"/>
              </w:rPr>
              <w:t xml:space="preserve"> (x2)</w:t>
            </w:r>
          </w:p>
        </w:tc>
      </w:tr>
      <w:tr w:rsidR="008A4F44" w14:paraId="278AB24C" w14:textId="77777777" w:rsidTr="008A4F44">
        <w:tc>
          <w:tcPr>
            <w:tcW w:w="3115" w:type="dxa"/>
          </w:tcPr>
          <w:p w14:paraId="3B25BE44" w14:textId="77777777" w:rsidR="008A4F44" w:rsidRDefault="008A4F44" w:rsidP="002223B8">
            <w:r>
              <w:t>Тестовая</w:t>
            </w:r>
          </w:p>
        </w:tc>
        <w:tc>
          <w:tcPr>
            <w:tcW w:w="6236" w:type="dxa"/>
          </w:tcPr>
          <w:p w14:paraId="320117E3" w14:textId="77777777" w:rsidR="008A4F44" w:rsidRPr="00381FCE" w:rsidRDefault="008A4F44" w:rsidP="002223B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HaProxy</w:t>
            </w:r>
            <w:proofErr w:type="spellEnd"/>
          </w:p>
        </w:tc>
      </w:tr>
    </w:tbl>
    <w:p w14:paraId="5F97C877" w14:textId="36797F22" w:rsidR="00C36B85" w:rsidRDefault="009C0731" w:rsidP="009C0731">
      <w:pPr>
        <w:pStyle w:val="1"/>
        <w:numPr>
          <w:ilvl w:val="0"/>
          <w:numId w:val="0"/>
        </w:numPr>
      </w:pPr>
      <w:r>
        <w:t>6. Техническая архитектура приложения.</w:t>
      </w:r>
    </w:p>
    <w:p w14:paraId="12968590" w14:textId="6ECA83EB" w:rsidR="009C0731" w:rsidRDefault="009C0731" w:rsidP="009C0731"/>
    <w:p w14:paraId="6A33D264" w14:textId="1C2FDA19" w:rsidR="009C0731" w:rsidRDefault="009C0731" w:rsidP="009C0731"/>
    <w:p w14:paraId="72CEB8DC" w14:textId="7EF07869" w:rsidR="009C0731" w:rsidRDefault="009C0731" w:rsidP="009C0731"/>
    <w:p w14:paraId="6A4851DF" w14:textId="40A54C59" w:rsidR="009C0731" w:rsidRDefault="009C0731" w:rsidP="009C0731"/>
    <w:p w14:paraId="206ED7F0" w14:textId="4688CFB5" w:rsidR="009C0731" w:rsidRDefault="009C0731" w:rsidP="009C0731"/>
    <w:p w14:paraId="09952301" w14:textId="235787EF" w:rsidR="009C0731" w:rsidRDefault="009C0731" w:rsidP="009C0731"/>
    <w:p w14:paraId="7006AC98" w14:textId="0B8269FA" w:rsidR="009C0731" w:rsidRDefault="009C0731" w:rsidP="009C0731"/>
    <w:p w14:paraId="25284FD3" w14:textId="3710FAA0" w:rsidR="009C0731" w:rsidRDefault="009C0731" w:rsidP="009C0731"/>
    <w:p w14:paraId="216BA54B" w14:textId="7082B98C" w:rsidR="009C0731" w:rsidRPr="00C36B85" w:rsidRDefault="009C0731" w:rsidP="009C0731">
      <w:bookmarkStart w:id="17" w:name="_GoBack"/>
      <w:r>
        <w:rPr>
          <w:noProof/>
          <w:lang w:eastAsia="ru-RU"/>
        </w:rPr>
        <w:drawing>
          <wp:inline distT="0" distB="0" distL="0" distR="0" wp14:anchorId="23D5C610" wp14:editId="0507C47A">
            <wp:extent cx="6026150" cy="35941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</w:p>
    <w:sectPr w:rsidR="009C0731" w:rsidRPr="00C36B85" w:rsidSect="00613FD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0FDC07" w16cex:dateUtc="2024-12-20T07:05:00Z"/>
  <w16cex:commentExtensible w16cex:durableId="2B0FDB8E" w16cex:dateUtc="2024-12-20T07:03:00Z"/>
  <w16cex:commentExtensible w16cex:durableId="2B0FDA1D" w16cex:dateUtc="2024-12-20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3197DA" w16cid:durableId="2A398340"/>
  <w16cid:commentId w16cid:paraId="2EB7754E" w16cid:durableId="2B0FDC07"/>
  <w16cid:commentId w16cid:paraId="00E7F74C" w16cid:durableId="29CA870D"/>
  <w16cid:commentId w16cid:paraId="3FAC9918" w16cid:durableId="2B0FDB8E"/>
  <w16cid:commentId w16cid:paraId="7706AA71" w16cid:durableId="2B0FDA1D"/>
  <w16cid:commentId w16cid:paraId="23766C44" w16cid:durableId="2A3982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22F60" w14:textId="77777777" w:rsidR="00AD782E" w:rsidRDefault="00AD782E" w:rsidP="009B7CD9">
      <w:pPr>
        <w:spacing w:before="0" w:after="0" w:line="240" w:lineRule="auto"/>
      </w:pPr>
      <w:r>
        <w:separator/>
      </w:r>
    </w:p>
  </w:endnote>
  <w:endnote w:type="continuationSeparator" w:id="0">
    <w:p w14:paraId="03576555" w14:textId="77777777" w:rsidR="00AD782E" w:rsidRDefault="00AD782E" w:rsidP="009B7C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2098A" w14:textId="77777777" w:rsidR="00AD782E" w:rsidRDefault="00AD782E" w:rsidP="009B7CD9">
      <w:pPr>
        <w:spacing w:before="0" w:after="0" w:line="240" w:lineRule="auto"/>
      </w:pPr>
      <w:r>
        <w:separator/>
      </w:r>
    </w:p>
  </w:footnote>
  <w:footnote w:type="continuationSeparator" w:id="0">
    <w:p w14:paraId="0B5D4B95" w14:textId="77777777" w:rsidR="00AD782E" w:rsidRDefault="00AD782E" w:rsidP="009B7CD9">
      <w:pPr>
        <w:spacing w:before="0" w:after="0" w:line="240" w:lineRule="auto"/>
      </w:pPr>
      <w:r>
        <w:continuationSeparator/>
      </w:r>
    </w:p>
  </w:footnote>
  <w:footnote w:id="1">
    <w:p w14:paraId="77CBC383" w14:textId="77777777" w:rsidR="005D537F" w:rsidRDefault="005D537F" w:rsidP="005D537F">
      <w:pPr>
        <w:pStyle w:val="ae"/>
      </w:pPr>
      <w:r>
        <w:rPr>
          <w:rStyle w:val="af0"/>
        </w:rPr>
        <w:footnoteRef/>
      </w:r>
      <w:r>
        <w:t xml:space="preserve"> </w:t>
      </w:r>
      <w:r w:rsidRPr="00C55A08">
        <w:t>Доступность –</w:t>
      </w:r>
      <w:r>
        <w:t xml:space="preserve"> </w:t>
      </w:r>
      <w:r w:rsidRPr="00C55A08">
        <w:t>требование к доступности систем, определяется как отношение длительности времени, в течение которого система выполняла свои функции к общей длительности промежутка, за который считается доступность. При расчете доступности в период недоступности включаются как непредусмотренные простои, так и планово-предупредительные мероприятия. Период, за который считается доступность с целью ее оценки не должен быть менее 1 месяца</w:t>
      </w:r>
      <w:r>
        <w:t>.</w:t>
      </w:r>
    </w:p>
  </w:footnote>
  <w:footnote w:id="2">
    <w:p w14:paraId="5F186B4E" w14:textId="77777777" w:rsidR="005D537F" w:rsidRDefault="005D537F" w:rsidP="005D537F">
      <w:pPr>
        <w:pStyle w:val="ae"/>
      </w:pPr>
      <w:r>
        <w:rPr>
          <w:rStyle w:val="af0"/>
        </w:rPr>
        <w:footnoteRef/>
      </w:r>
      <w:r>
        <w:t xml:space="preserve"> </w:t>
      </w:r>
      <w:r w:rsidRPr="00C55A08">
        <w:t xml:space="preserve">RTO – целевое время восстановления – время, необходимое для </w:t>
      </w:r>
      <w:r>
        <w:t>восстановления данных на момент</w:t>
      </w:r>
      <w:r w:rsidRPr="00C55A08">
        <w:t>, непосредственно предшествующий сбою, с учетом RPO. В расчет RTO не включаются логические сбои и восстановление при катастрофах.</w:t>
      </w:r>
    </w:p>
  </w:footnote>
  <w:footnote w:id="3">
    <w:p w14:paraId="46D96CC5" w14:textId="77777777" w:rsidR="005D537F" w:rsidRDefault="005D537F" w:rsidP="005D537F">
      <w:pPr>
        <w:pStyle w:val="ae"/>
      </w:pPr>
      <w:r>
        <w:rPr>
          <w:rStyle w:val="af0"/>
        </w:rPr>
        <w:footnoteRef/>
      </w:r>
      <w:r>
        <w:t xml:space="preserve"> </w:t>
      </w:r>
      <w:r w:rsidRPr="00C55A08">
        <w:t>RPO – целевая точка восстановления – отрезок времени, предшествующий срыву бизнес-процесса, за который допускается невосполнимая потеря данных</w:t>
      </w:r>
      <w:r>
        <w:t>.</w:t>
      </w:r>
    </w:p>
  </w:footnote>
  <w:footnote w:id="4">
    <w:p w14:paraId="1E2EAED0" w14:textId="77777777" w:rsidR="005D537F" w:rsidRDefault="005D537F" w:rsidP="005D537F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lang w:val="en-US"/>
        </w:rPr>
        <w:t>RCO</w:t>
      </w:r>
      <w:r w:rsidRPr="00C55A08">
        <w:t xml:space="preserve"> </w:t>
      </w:r>
      <w:r>
        <w:t>(</w:t>
      </w:r>
      <w:proofErr w:type="spellStart"/>
      <w:r w:rsidRPr="00C55A08">
        <w:t>recovery</w:t>
      </w:r>
      <w:proofErr w:type="spellEnd"/>
      <w:r w:rsidRPr="00C55A08">
        <w:t xml:space="preserve"> </w:t>
      </w:r>
      <w:proofErr w:type="spellStart"/>
      <w:r w:rsidRPr="00C55A08">
        <w:t>capacity</w:t>
      </w:r>
      <w:proofErr w:type="spellEnd"/>
      <w:r w:rsidRPr="00C55A08">
        <w:t xml:space="preserve"> </w:t>
      </w:r>
      <w:proofErr w:type="spellStart"/>
      <w:r w:rsidRPr="00C55A08">
        <w:t>objective</w:t>
      </w:r>
      <w:proofErr w:type="spellEnd"/>
      <w:r>
        <w:t xml:space="preserve">) </w:t>
      </w:r>
      <w:r w:rsidRPr="00C55A08">
        <w:t xml:space="preserve">– </w:t>
      </w:r>
      <w:r>
        <w:t>определяет,</w:t>
      </w:r>
      <w:r w:rsidRPr="00C55A08">
        <w:t xml:space="preserve"> какую часть нагрузки должна обеспечивать резервная система.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64"/>
      <w:gridCol w:w="5264"/>
      <w:gridCol w:w="1738"/>
    </w:tblGrid>
    <w:tr w:rsidR="005D537F" w:rsidRPr="00DF7D1B" w14:paraId="4DFB83AB" w14:textId="77777777" w:rsidTr="002223B8">
      <w:trPr>
        <w:trHeight w:val="530"/>
      </w:trPr>
      <w:tc>
        <w:tcPr>
          <w:tcW w:w="256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43634BF" w14:textId="77777777" w:rsidR="005D537F" w:rsidRPr="00DF7D1B" w:rsidRDefault="005D537F" w:rsidP="005D537F">
          <w:pPr>
            <w:pStyle w:val="a3"/>
            <w:jc w:val="center"/>
            <w:rPr>
              <w:b/>
              <w:bCs/>
              <w:i/>
              <w:iCs/>
              <w:lang w:bidi="en-US"/>
            </w:rPr>
          </w:pPr>
          <w:r w:rsidRPr="00DF7D1B">
            <w:rPr>
              <w:b/>
              <w:i/>
              <w:noProof/>
              <w:lang w:eastAsia="ru-RU"/>
            </w:rPr>
            <w:drawing>
              <wp:inline distT="0" distB="0" distL="0" distR="0" wp14:anchorId="1B2732F9" wp14:editId="49DB2949">
                <wp:extent cx="1470660" cy="503140"/>
                <wp:effectExtent l="0" t="0" r="2540" b="5080"/>
                <wp:docPr id="2" name="Рисунок 2" descr="Ростелеком_шабло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Ростелеком_шабло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052" cy="5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924F5C" w14:textId="77777777" w:rsidR="005D537F" w:rsidRPr="00DF7D1B" w:rsidRDefault="005D537F" w:rsidP="005D537F">
          <w:pPr>
            <w:pStyle w:val="a3"/>
            <w:jc w:val="center"/>
            <w:rPr>
              <w:bCs/>
              <w:lang w:bidi="en-US"/>
            </w:rPr>
          </w:pPr>
          <w:r w:rsidRPr="00DF7D1B">
            <w:rPr>
              <w:lang w:bidi="en-US"/>
            </w:rPr>
            <w:t>«</w:t>
          </w:r>
          <w:r>
            <w:rPr>
              <w:lang w:bidi="en-US"/>
            </w:rPr>
            <w:t>Ростелеком Лицей</w:t>
          </w:r>
          <w:r w:rsidRPr="00DF7D1B">
            <w:rPr>
              <w:lang w:bidi="en-US"/>
            </w:rPr>
            <w:t>»</w:t>
          </w:r>
        </w:p>
      </w:tc>
    </w:tr>
    <w:tr w:rsidR="005D537F" w:rsidRPr="00DF7D1B" w14:paraId="5024D236" w14:textId="77777777" w:rsidTr="002223B8">
      <w:trPr>
        <w:trHeight w:val="96"/>
      </w:trPr>
      <w:tc>
        <w:tcPr>
          <w:tcW w:w="256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F70BB7" w14:textId="77777777" w:rsidR="005D537F" w:rsidRPr="00DF7D1B" w:rsidRDefault="005D537F" w:rsidP="005D537F">
          <w:pPr>
            <w:pStyle w:val="a3"/>
            <w:rPr>
              <w:lang w:val="en-US" w:bidi="en-US"/>
            </w:rPr>
          </w:pPr>
        </w:p>
      </w:tc>
      <w:tc>
        <w:tcPr>
          <w:tcW w:w="52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894817" w14:textId="77777777" w:rsidR="005D537F" w:rsidRPr="00DF7D1B" w:rsidRDefault="005D537F" w:rsidP="005D537F">
          <w:pPr>
            <w:pStyle w:val="a3"/>
            <w:jc w:val="center"/>
            <w:rPr>
              <w:lang w:bidi="en-US"/>
            </w:rPr>
          </w:pPr>
          <w:r>
            <w:t>Описание технической архитектуры Системы</w:t>
          </w:r>
        </w:p>
      </w:tc>
      <w:tc>
        <w:tcPr>
          <w:tcW w:w="17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9F87AD" w14:textId="62204183" w:rsidR="005D537F" w:rsidRPr="00DF7D1B" w:rsidRDefault="005D537F" w:rsidP="005D537F">
          <w:pPr>
            <w:pStyle w:val="a3"/>
            <w:rPr>
              <w:lang w:bidi="en-US"/>
            </w:rPr>
          </w:pPr>
          <w:r w:rsidRPr="00DF7D1B">
            <w:rPr>
              <w:lang w:bidi="en-US"/>
            </w:rPr>
            <w:t xml:space="preserve">Стр. </w:t>
          </w:r>
          <w:r w:rsidRPr="00DF7D1B">
            <w:rPr>
              <w:lang w:bidi="en-US"/>
            </w:rPr>
            <w:fldChar w:fldCharType="begin"/>
          </w:r>
          <w:r w:rsidRPr="00DF7D1B">
            <w:rPr>
              <w:lang w:bidi="en-US"/>
            </w:rPr>
            <w:instrText xml:space="preserve"> PAGE </w:instrText>
          </w:r>
          <w:r w:rsidRPr="00DF7D1B">
            <w:rPr>
              <w:lang w:bidi="en-US"/>
            </w:rPr>
            <w:fldChar w:fldCharType="separate"/>
          </w:r>
          <w:r w:rsidR="009C0731">
            <w:rPr>
              <w:noProof/>
              <w:lang w:bidi="en-US"/>
            </w:rPr>
            <w:t>6</w:t>
          </w:r>
          <w:r w:rsidRPr="00DF7D1B">
            <w:rPr>
              <w:lang w:bidi="en-US"/>
            </w:rPr>
            <w:fldChar w:fldCharType="end"/>
          </w:r>
          <w:r w:rsidRPr="00DF7D1B">
            <w:rPr>
              <w:lang w:bidi="en-US"/>
            </w:rPr>
            <w:t xml:space="preserve"> из </w:t>
          </w:r>
          <w:r w:rsidRPr="00DF7D1B">
            <w:rPr>
              <w:lang w:bidi="en-US"/>
            </w:rPr>
            <w:fldChar w:fldCharType="begin"/>
          </w:r>
          <w:r w:rsidRPr="00DF7D1B">
            <w:rPr>
              <w:lang w:bidi="en-US"/>
            </w:rPr>
            <w:instrText xml:space="preserve"> NUMPAGES </w:instrText>
          </w:r>
          <w:r w:rsidRPr="00DF7D1B">
            <w:rPr>
              <w:lang w:bidi="en-US"/>
            </w:rPr>
            <w:fldChar w:fldCharType="separate"/>
          </w:r>
          <w:r w:rsidR="009C0731">
            <w:rPr>
              <w:noProof/>
              <w:lang w:bidi="en-US"/>
            </w:rPr>
            <w:t>6</w:t>
          </w:r>
          <w:r w:rsidRPr="00DF7D1B">
            <w:rPr>
              <w:lang w:bidi="en-US"/>
            </w:rPr>
            <w:fldChar w:fldCharType="end"/>
          </w:r>
        </w:p>
      </w:tc>
    </w:tr>
  </w:tbl>
  <w:p w14:paraId="2FA13DB5" w14:textId="77777777" w:rsidR="005D537F" w:rsidRDefault="005D53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572"/>
    <w:multiLevelType w:val="multilevel"/>
    <w:tmpl w:val="B1D6051C"/>
    <w:lvl w:ilvl="0">
      <w:start w:val="1"/>
      <w:numFmt w:val="decimal"/>
      <w:pStyle w:val="1"/>
      <w:lvlText w:val="%1."/>
      <w:lvlJc w:val="left"/>
      <w:pPr>
        <w:ind w:left="397" w:hanging="397"/>
      </w:pPr>
      <w:rPr>
        <w:rFonts w:ascii="Calibri Light" w:hAnsi="Calibri Light"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397" w:hanging="397"/>
      </w:pPr>
      <w:rPr>
        <w:rFonts w:ascii="Calibri Light" w:hAnsi="Calibri Light" w:hint="default"/>
        <w:b/>
        <w:i w:val="0"/>
        <w:sz w:val="24"/>
      </w:rPr>
    </w:lvl>
    <w:lvl w:ilvl="2">
      <w:start w:val="1"/>
      <w:numFmt w:val="decimal"/>
      <w:pStyle w:val="3"/>
      <w:lvlText w:val="%1.%2.%3."/>
      <w:lvlJc w:val="left"/>
      <w:pPr>
        <w:ind w:left="397" w:hanging="397"/>
      </w:pPr>
      <w:rPr>
        <w:rFonts w:ascii="Calibri Light" w:hAnsi="Calibri Light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6C54188"/>
    <w:multiLevelType w:val="hybridMultilevel"/>
    <w:tmpl w:val="9B3C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43701"/>
    <w:multiLevelType w:val="hybridMultilevel"/>
    <w:tmpl w:val="D89EE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9222D"/>
    <w:multiLevelType w:val="hybridMultilevel"/>
    <w:tmpl w:val="BE101D94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20760CA4"/>
    <w:multiLevelType w:val="hybridMultilevel"/>
    <w:tmpl w:val="65F25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D17C7"/>
    <w:multiLevelType w:val="hybridMultilevel"/>
    <w:tmpl w:val="DF8C9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5FE3"/>
    <w:multiLevelType w:val="hybridMultilevel"/>
    <w:tmpl w:val="B1DCD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A7048"/>
    <w:multiLevelType w:val="hybridMultilevel"/>
    <w:tmpl w:val="7F345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25B0D"/>
    <w:multiLevelType w:val="hybridMultilevel"/>
    <w:tmpl w:val="80C6C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131EB"/>
    <w:multiLevelType w:val="hybridMultilevel"/>
    <w:tmpl w:val="5E36D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90538"/>
    <w:multiLevelType w:val="hybridMultilevel"/>
    <w:tmpl w:val="D89EE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10D55"/>
    <w:multiLevelType w:val="hybridMultilevel"/>
    <w:tmpl w:val="513A8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860E7"/>
    <w:multiLevelType w:val="hybridMultilevel"/>
    <w:tmpl w:val="84820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C72A5"/>
    <w:multiLevelType w:val="hybridMultilevel"/>
    <w:tmpl w:val="CB6C9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13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5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E6"/>
    <w:rsid w:val="0000026C"/>
    <w:rsid w:val="000311DF"/>
    <w:rsid w:val="000678E9"/>
    <w:rsid w:val="00075A61"/>
    <w:rsid w:val="0008774C"/>
    <w:rsid w:val="000B0051"/>
    <w:rsid w:val="000B32F0"/>
    <w:rsid w:val="000B5764"/>
    <w:rsid w:val="000B726F"/>
    <w:rsid w:val="000C1E78"/>
    <w:rsid w:val="000C5EC7"/>
    <w:rsid w:val="000E0C1E"/>
    <w:rsid w:val="000F7242"/>
    <w:rsid w:val="00107F89"/>
    <w:rsid w:val="00111560"/>
    <w:rsid w:val="00115096"/>
    <w:rsid w:val="001474EE"/>
    <w:rsid w:val="00160D4E"/>
    <w:rsid w:val="0018178C"/>
    <w:rsid w:val="001839FE"/>
    <w:rsid w:val="001A3278"/>
    <w:rsid w:val="001A451B"/>
    <w:rsid w:val="001C2558"/>
    <w:rsid w:val="00202C07"/>
    <w:rsid w:val="00204C03"/>
    <w:rsid w:val="00205C0D"/>
    <w:rsid w:val="00233EE6"/>
    <w:rsid w:val="00253C7A"/>
    <w:rsid w:val="0026234A"/>
    <w:rsid w:val="00291591"/>
    <w:rsid w:val="002C1C35"/>
    <w:rsid w:val="00311372"/>
    <w:rsid w:val="00321793"/>
    <w:rsid w:val="00330C26"/>
    <w:rsid w:val="00333867"/>
    <w:rsid w:val="00333DC5"/>
    <w:rsid w:val="00354A3C"/>
    <w:rsid w:val="00377A94"/>
    <w:rsid w:val="00377BB8"/>
    <w:rsid w:val="0038101E"/>
    <w:rsid w:val="00381FCE"/>
    <w:rsid w:val="003D4BDC"/>
    <w:rsid w:val="003E66C5"/>
    <w:rsid w:val="00413E23"/>
    <w:rsid w:val="00431BD8"/>
    <w:rsid w:val="004510B5"/>
    <w:rsid w:val="00453F78"/>
    <w:rsid w:val="00457589"/>
    <w:rsid w:val="00457736"/>
    <w:rsid w:val="004639FB"/>
    <w:rsid w:val="00480B4A"/>
    <w:rsid w:val="00497F6D"/>
    <w:rsid w:val="004A581B"/>
    <w:rsid w:val="004B228B"/>
    <w:rsid w:val="004B7477"/>
    <w:rsid w:val="004D7396"/>
    <w:rsid w:val="004E3466"/>
    <w:rsid w:val="004E467E"/>
    <w:rsid w:val="00510BE8"/>
    <w:rsid w:val="00522932"/>
    <w:rsid w:val="00527B07"/>
    <w:rsid w:val="0053101B"/>
    <w:rsid w:val="005311B6"/>
    <w:rsid w:val="00546550"/>
    <w:rsid w:val="00556471"/>
    <w:rsid w:val="005566DD"/>
    <w:rsid w:val="00560D29"/>
    <w:rsid w:val="005711A8"/>
    <w:rsid w:val="00572C62"/>
    <w:rsid w:val="005A0FBC"/>
    <w:rsid w:val="005B378B"/>
    <w:rsid w:val="005D537F"/>
    <w:rsid w:val="005E5113"/>
    <w:rsid w:val="00600005"/>
    <w:rsid w:val="006065B5"/>
    <w:rsid w:val="00613FD2"/>
    <w:rsid w:val="006352BB"/>
    <w:rsid w:val="0064134D"/>
    <w:rsid w:val="00650559"/>
    <w:rsid w:val="00650C11"/>
    <w:rsid w:val="00652680"/>
    <w:rsid w:val="0069445E"/>
    <w:rsid w:val="006A240C"/>
    <w:rsid w:val="006B04E1"/>
    <w:rsid w:val="006C1F7D"/>
    <w:rsid w:val="006C26EF"/>
    <w:rsid w:val="006D1812"/>
    <w:rsid w:val="006E2AF7"/>
    <w:rsid w:val="006E4661"/>
    <w:rsid w:val="006E6E79"/>
    <w:rsid w:val="006E77A4"/>
    <w:rsid w:val="0070326C"/>
    <w:rsid w:val="00707E8C"/>
    <w:rsid w:val="00710816"/>
    <w:rsid w:val="00724198"/>
    <w:rsid w:val="00731B83"/>
    <w:rsid w:val="007B0CC9"/>
    <w:rsid w:val="007B2BBA"/>
    <w:rsid w:val="007B6606"/>
    <w:rsid w:val="007C101B"/>
    <w:rsid w:val="007C79F0"/>
    <w:rsid w:val="007D6125"/>
    <w:rsid w:val="007E0260"/>
    <w:rsid w:val="008039FF"/>
    <w:rsid w:val="00831734"/>
    <w:rsid w:val="00845D0B"/>
    <w:rsid w:val="00865031"/>
    <w:rsid w:val="0087236D"/>
    <w:rsid w:val="00891875"/>
    <w:rsid w:val="008A4F44"/>
    <w:rsid w:val="008A6CB7"/>
    <w:rsid w:val="008C0F90"/>
    <w:rsid w:val="008D7392"/>
    <w:rsid w:val="008E036A"/>
    <w:rsid w:val="008E144C"/>
    <w:rsid w:val="008E3DC0"/>
    <w:rsid w:val="009266B0"/>
    <w:rsid w:val="0094333A"/>
    <w:rsid w:val="00980E98"/>
    <w:rsid w:val="009916C3"/>
    <w:rsid w:val="009B7CD9"/>
    <w:rsid w:val="009C0731"/>
    <w:rsid w:val="009D1159"/>
    <w:rsid w:val="009D4C6A"/>
    <w:rsid w:val="00A24807"/>
    <w:rsid w:val="00A33E8A"/>
    <w:rsid w:val="00A51FDA"/>
    <w:rsid w:val="00A62A54"/>
    <w:rsid w:val="00A707B0"/>
    <w:rsid w:val="00A72B06"/>
    <w:rsid w:val="00AA3A66"/>
    <w:rsid w:val="00AA6F66"/>
    <w:rsid w:val="00AA7B0C"/>
    <w:rsid w:val="00AD782E"/>
    <w:rsid w:val="00B04EFB"/>
    <w:rsid w:val="00B13A7C"/>
    <w:rsid w:val="00B14305"/>
    <w:rsid w:val="00B251CE"/>
    <w:rsid w:val="00B35646"/>
    <w:rsid w:val="00B540EA"/>
    <w:rsid w:val="00B62B73"/>
    <w:rsid w:val="00B64D35"/>
    <w:rsid w:val="00B66F8C"/>
    <w:rsid w:val="00B83733"/>
    <w:rsid w:val="00B9051E"/>
    <w:rsid w:val="00B9144E"/>
    <w:rsid w:val="00BB64C7"/>
    <w:rsid w:val="00BC2039"/>
    <w:rsid w:val="00BF0371"/>
    <w:rsid w:val="00BF1207"/>
    <w:rsid w:val="00C05BB6"/>
    <w:rsid w:val="00C06E2B"/>
    <w:rsid w:val="00C131F1"/>
    <w:rsid w:val="00C20216"/>
    <w:rsid w:val="00C36B85"/>
    <w:rsid w:val="00C536C1"/>
    <w:rsid w:val="00C55A08"/>
    <w:rsid w:val="00C560C5"/>
    <w:rsid w:val="00C9173B"/>
    <w:rsid w:val="00CB5A32"/>
    <w:rsid w:val="00CE407B"/>
    <w:rsid w:val="00CE4808"/>
    <w:rsid w:val="00D04617"/>
    <w:rsid w:val="00D17FB8"/>
    <w:rsid w:val="00D5796D"/>
    <w:rsid w:val="00D641D7"/>
    <w:rsid w:val="00D67E6F"/>
    <w:rsid w:val="00D94D43"/>
    <w:rsid w:val="00DB7B26"/>
    <w:rsid w:val="00DC0051"/>
    <w:rsid w:val="00DC2673"/>
    <w:rsid w:val="00DD53E6"/>
    <w:rsid w:val="00E02E19"/>
    <w:rsid w:val="00E03BF8"/>
    <w:rsid w:val="00E238E6"/>
    <w:rsid w:val="00E3276F"/>
    <w:rsid w:val="00E455B5"/>
    <w:rsid w:val="00E461CE"/>
    <w:rsid w:val="00E4689A"/>
    <w:rsid w:val="00E67439"/>
    <w:rsid w:val="00F22DA4"/>
    <w:rsid w:val="00F32160"/>
    <w:rsid w:val="00F51F65"/>
    <w:rsid w:val="00F64D68"/>
    <w:rsid w:val="00F70CE7"/>
    <w:rsid w:val="00F966A7"/>
    <w:rsid w:val="00FD796F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F2120"/>
  <w15:chartTrackingRefBased/>
  <w15:docId w15:val="{2BBCCB88-732A-442D-8384-160355E8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05"/>
    <w:pPr>
      <w:keepLines/>
      <w:spacing w:before="80" w:after="80"/>
    </w:pPr>
    <w:rPr>
      <w:rFonts w:ascii="Calibri Light" w:hAnsi="Calibri Light"/>
    </w:rPr>
  </w:style>
  <w:style w:type="paragraph" w:styleId="1">
    <w:name w:val="heading 1"/>
    <w:basedOn w:val="a"/>
    <w:next w:val="a"/>
    <w:link w:val="10"/>
    <w:uiPriority w:val="9"/>
    <w:qFormat/>
    <w:rsid w:val="00B14305"/>
    <w:pPr>
      <w:keepNext/>
      <w:numPr>
        <w:numId w:val="1"/>
      </w:numPr>
      <w:spacing w:before="240"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234A"/>
    <w:pPr>
      <w:keepNext/>
      <w:numPr>
        <w:ilvl w:val="1"/>
        <w:numId w:val="1"/>
      </w:numPr>
      <w:spacing w:before="12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1812"/>
    <w:pPr>
      <w:keepNext/>
      <w:numPr>
        <w:ilvl w:val="2"/>
        <w:numId w:val="1"/>
      </w:numPr>
      <w:spacing w:before="240" w:after="120"/>
      <w:outlineLvl w:val="2"/>
    </w:pPr>
    <w:rPr>
      <w:rFonts w:eastAsiaTheme="majorEastAsia" w:cstheme="majorBidi"/>
      <w:color w:val="2F5496" w:themeColor="accent5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53C7A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305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26234A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6D1812"/>
    <w:rPr>
      <w:rFonts w:ascii="Calibri Light" w:eastAsiaTheme="majorEastAsia" w:hAnsi="Calibri Light" w:cstheme="majorBidi"/>
      <w:color w:val="2F5496" w:themeColor="accent5" w:themeShade="BF"/>
      <w:sz w:val="24"/>
      <w:szCs w:val="24"/>
    </w:rPr>
  </w:style>
  <w:style w:type="paragraph" w:styleId="a3">
    <w:name w:val="header"/>
    <w:basedOn w:val="a"/>
    <w:link w:val="a4"/>
    <w:unhideWhenUsed/>
    <w:rsid w:val="009B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B7CD9"/>
  </w:style>
  <w:style w:type="paragraph" w:styleId="a5">
    <w:name w:val="footer"/>
    <w:basedOn w:val="a"/>
    <w:link w:val="a6"/>
    <w:uiPriority w:val="99"/>
    <w:unhideWhenUsed/>
    <w:rsid w:val="009B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7CD9"/>
  </w:style>
  <w:style w:type="table" w:styleId="a7">
    <w:name w:val="Table Grid"/>
    <w:basedOn w:val="a1"/>
    <w:uiPriority w:val="39"/>
    <w:rsid w:val="009B7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B7CD9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9B7CD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9B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11">
    <w:name w:val="toc 1"/>
    <w:basedOn w:val="a"/>
    <w:next w:val="a"/>
    <w:autoRedefine/>
    <w:uiPriority w:val="39"/>
    <w:unhideWhenUsed/>
    <w:rsid w:val="002C1C3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C1C35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2C1C35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204C03"/>
    <w:rPr>
      <w:b w:val="0"/>
      <w:i w:val="0"/>
      <w:iCs/>
    </w:rPr>
  </w:style>
  <w:style w:type="paragraph" w:styleId="31">
    <w:name w:val="toc 3"/>
    <w:basedOn w:val="a"/>
    <w:next w:val="a"/>
    <w:autoRedefine/>
    <w:uiPriority w:val="39"/>
    <w:unhideWhenUsed/>
    <w:rsid w:val="008D7392"/>
    <w:pPr>
      <w:spacing w:after="100"/>
      <w:ind w:left="440"/>
    </w:pPr>
  </w:style>
  <w:style w:type="paragraph" w:styleId="ad">
    <w:name w:val="List Paragraph"/>
    <w:basedOn w:val="a"/>
    <w:uiPriority w:val="34"/>
    <w:qFormat/>
    <w:rsid w:val="004B7477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C55A08"/>
    <w:pPr>
      <w:spacing w:before="0"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55A08"/>
    <w:rPr>
      <w:rFonts w:ascii="Calibri Light" w:hAnsi="Calibri Light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55A08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C55A08"/>
    <w:pPr>
      <w:spacing w:before="0"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55A08"/>
    <w:rPr>
      <w:rFonts w:ascii="Calibri Light" w:hAnsi="Calibri Light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C55A08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64134D"/>
    <w:pPr>
      <w:keepLine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253C7A"/>
    <w:rPr>
      <w:b/>
      <w:bCs/>
    </w:rPr>
  </w:style>
  <w:style w:type="character" w:customStyle="1" w:styleId="nolink">
    <w:name w:val="nolink"/>
    <w:basedOn w:val="a0"/>
    <w:rsid w:val="00253C7A"/>
  </w:style>
  <w:style w:type="paragraph" w:customStyle="1" w:styleId="with-breadcrumbs">
    <w:name w:val="with-breadcrumbs"/>
    <w:basedOn w:val="a"/>
    <w:rsid w:val="00253C7A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3C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6">
    <w:name w:val="annotation reference"/>
    <w:basedOn w:val="a0"/>
    <w:uiPriority w:val="99"/>
    <w:semiHidden/>
    <w:unhideWhenUsed/>
    <w:rsid w:val="005D537F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5D537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5D537F"/>
    <w:rPr>
      <w:rFonts w:ascii="Calibri Light" w:hAnsi="Calibri Light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5D537F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5D537F"/>
    <w:rPr>
      <w:rFonts w:ascii="Times New Roman" w:hAnsi="Times New Roman" w:cs="Times New Roman"/>
      <w:sz w:val="18"/>
      <w:szCs w:val="18"/>
    </w:rPr>
  </w:style>
  <w:style w:type="paragraph" w:styleId="afb">
    <w:name w:val="annotation subject"/>
    <w:basedOn w:val="af7"/>
    <w:next w:val="af7"/>
    <w:link w:val="afc"/>
    <w:uiPriority w:val="99"/>
    <w:semiHidden/>
    <w:unhideWhenUsed/>
    <w:rsid w:val="008A4F44"/>
    <w:rPr>
      <w:b/>
      <w:bCs/>
    </w:rPr>
  </w:style>
  <w:style w:type="character" w:customStyle="1" w:styleId="afc">
    <w:name w:val="Тема примечания Знак"/>
    <w:basedOn w:val="af8"/>
    <w:link w:val="afb"/>
    <w:uiPriority w:val="99"/>
    <w:semiHidden/>
    <w:rsid w:val="008A4F44"/>
    <w:rPr>
      <w:rFonts w:ascii="Calibri Light" w:hAnsi="Calibri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91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0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629D1D23-370E-45CE-ABDF-B0477182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Shaykhutdinov A.R.</dc:creator>
  <cp:keywords/>
  <dc:description/>
  <cp:lastModifiedBy>Скуратовская Екатерина Михайловна</cp:lastModifiedBy>
  <cp:revision>30</cp:revision>
  <dcterms:created xsi:type="dcterms:W3CDTF">2023-02-15T14:40:00Z</dcterms:created>
  <dcterms:modified xsi:type="dcterms:W3CDTF">2025-05-06T13:27:00Z</dcterms:modified>
</cp:coreProperties>
</file>